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D180F" w14:textId="77777777" w:rsidR="008115C7" w:rsidRPr="004947D3" w:rsidRDefault="008115C7" w:rsidP="001215F9">
      <w:pPr>
        <w:tabs>
          <w:tab w:val="left" w:pos="-142"/>
        </w:tabs>
        <w:spacing w:after="0" w:line="240" w:lineRule="auto"/>
        <w:ind w:right="-472" w:firstLine="567"/>
        <w:jc w:val="right"/>
        <w:rPr>
          <w:rFonts w:ascii="Times New Roman" w:eastAsia="Batang" w:hAnsi="Times New Roman"/>
          <w:bCs/>
          <w:i/>
          <w:sz w:val="28"/>
          <w:szCs w:val="28"/>
          <w:lang w:eastAsia="ru-RU"/>
        </w:rPr>
      </w:pPr>
      <w:r w:rsidRPr="004947D3">
        <w:rPr>
          <w:rFonts w:ascii="Times New Roman" w:eastAsia="Batang" w:hAnsi="Times New Roman"/>
          <w:bCs/>
          <w:i/>
          <w:sz w:val="28"/>
          <w:szCs w:val="28"/>
          <w:lang w:eastAsia="ru-RU"/>
        </w:rPr>
        <w:t>Proiect</w:t>
      </w:r>
    </w:p>
    <w:p w14:paraId="5000A35B" w14:textId="77777777" w:rsidR="008115C7" w:rsidRDefault="008115C7" w:rsidP="001215F9">
      <w:pPr>
        <w:tabs>
          <w:tab w:val="left" w:pos="-142"/>
        </w:tabs>
        <w:spacing w:after="0" w:line="240" w:lineRule="auto"/>
        <w:ind w:right="-472" w:firstLine="567"/>
        <w:jc w:val="center"/>
        <w:rPr>
          <w:rFonts w:ascii="Times New Roman" w:eastAsia="Batang" w:hAnsi="Times New Roman"/>
          <w:b/>
          <w:bCs/>
          <w:sz w:val="28"/>
          <w:szCs w:val="28"/>
          <w:lang w:eastAsia="ru-RU"/>
        </w:rPr>
      </w:pPr>
    </w:p>
    <w:p w14:paraId="4387C4D5" w14:textId="77777777" w:rsidR="008115C7" w:rsidRDefault="008115C7" w:rsidP="001215F9">
      <w:pPr>
        <w:tabs>
          <w:tab w:val="left" w:pos="-142"/>
        </w:tabs>
        <w:spacing w:after="0" w:line="240" w:lineRule="auto"/>
        <w:ind w:right="-472" w:firstLine="567"/>
        <w:jc w:val="center"/>
        <w:rPr>
          <w:rFonts w:ascii="Times New Roman" w:eastAsia="Batang" w:hAnsi="Times New Roman"/>
          <w:b/>
          <w:bCs/>
          <w:sz w:val="28"/>
          <w:szCs w:val="28"/>
          <w:lang w:eastAsia="ru-RU"/>
        </w:rPr>
      </w:pPr>
      <w:r w:rsidRPr="006953A5">
        <w:rPr>
          <w:rFonts w:ascii="Times New Roman" w:eastAsia="Batang" w:hAnsi="Times New Roman"/>
          <w:b/>
          <w:bCs/>
          <w:sz w:val="28"/>
          <w:szCs w:val="28"/>
          <w:lang w:eastAsia="ru-RU"/>
        </w:rPr>
        <w:t xml:space="preserve">GUVERNUL </w:t>
      </w:r>
      <w:r>
        <w:rPr>
          <w:rFonts w:ascii="Times New Roman" w:eastAsia="Batang" w:hAnsi="Times New Roman"/>
          <w:b/>
          <w:bCs/>
          <w:sz w:val="28"/>
          <w:szCs w:val="28"/>
          <w:lang w:eastAsia="ru-RU"/>
        </w:rPr>
        <w:t xml:space="preserve"> </w:t>
      </w:r>
      <w:r w:rsidRPr="006953A5">
        <w:rPr>
          <w:rFonts w:ascii="Times New Roman" w:eastAsia="Batang" w:hAnsi="Times New Roman"/>
          <w:b/>
          <w:bCs/>
          <w:sz w:val="28"/>
          <w:szCs w:val="28"/>
          <w:lang w:eastAsia="ru-RU"/>
        </w:rPr>
        <w:t xml:space="preserve">REPUBLICII </w:t>
      </w:r>
      <w:r>
        <w:rPr>
          <w:rFonts w:ascii="Times New Roman" w:eastAsia="Batang" w:hAnsi="Times New Roman"/>
          <w:b/>
          <w:bCs/>
          <w:sz w:val="28"/>
          <w:szCs w:val="28"/>
          <w:lang w:eastAsia="ru-RU"/>
        </w:rPr>
        <w:t xml:space="preserve"> </w:t>
      </w:r>
      <w:r w:rsidRPr="006953A5">
        <w:rPr>
          <w:rFonts w:ascii="Times New Roman" w:eastAsia="Batang" w:hAnsi="Times New Roman"/>
          <w:b/>
          <w:bCs/>
          <w:sz w:val="28"/>
          <w:szCs w:val="28"/>
          <w:lang w:eastAsia="ru-RU"/>
        </w:rPr>
        <w:t xml:space="preserve">MOLDOVA </w:t>
      </w:r>
    </w:p>
    <w:p w14:paraId="4A96F300" w14:textId="77777777" w:rsidR="008115C7" w:rsidRPr="00A26B5C" w:rsidRDefault="008115C7" w:rsidP="001215F9">
      <w:pPr>
        <w:tabs>
          <w:tab w:val="left" w:pos="-142"/>
        </w:tabs>
        <w:spacing w:after="0" w:line="240" w:lineRule="auto"/>
        <w:ind w:right="-472" w:firstLine="567"/>
        <w:jc w:val="center"/>
        <w:rPr>
          <w:rFonts w:ascii="Times New Roman" w:eastAsia="Batang" w:hAnsi="Times New Roman"/>
          <w:b/>
          <w:bCs/>
          <w:sz w:val="28"/>
          <w:szCs w:val="28"/>
          <w:lang w:eastAsia="ru-RU"/>
        </w:rPr>
      </w:pPr>
    </w:p>
    <w:p w14:paraId="1BF515C1" w14:textId="77777777" w:rsidR="008115C7" w:rsidRPr="00A26B5C" w:rsidRDefault="008115C7" w:rsidP="001215F9">
      <w:pPr>
        <w:tabs>
          <w:tab w:val="left" w:pos="-142"/>
        </w:tabs>
        <w:spacing w:after="0" w:line="240" w:lineRule="auto"/>
        <w:ind w:right="-472" w:firstLine="567"/>
        <w:jc w:val="center"/>
        <w:rPr>
          <w:rFonts w:ascii="Times New Roman" w:eastAsia="Batang" w:hAnsi="Times New Roman"/>
          <w:b/>
          <w:bCs/>
          <w:sz w:val="28"/>
          <w:szCs w:val="28"/>
          <w:lang w:eastAsia="ru-RU"/>
        </w:rPr>
      </w:pPr>
      <w:r w:rsidRPr="00A26B5C">
        <w:rPr>
          <w:rFonts w:ascii="Times New Roman" w:eastAsia="Batang" w:hAnsi="Times New Roman"/>
          <w:b/>
          <w:bCs/>
          <w:sz w:val="28"/>
          <w:szCs w:val="28"/>
          <w:lang w:eastAsia="ru-RU"/>
        </w:rPr>
        <w:t xml:space="preserve">HOTĂRÂRE nr. ______ </w:t>
      </w:r>
    </w:p>
    <w:p w14:paraId="24503CEB" w14:textId="77777777" w:rsidR="008115C7" w:rsidRPr="00A26B5C" w:rsidRDefault="008115C7" w:rsidP="001215F9">
      <w:pPr>
        <w:tabs>
          <w:tab w:val="left" w:pos="-142"/>
        </w:tabs>
        <w:spacing w:after="0" w:line="240" w:lineRule="auto"/>
        <w:ind w:right="-472" w:firstLine="567"/>
        <w:jc w:val="center"/>
        <w:rPr>
          <w:rFonts w:ascii="Times New Roman" w:eastAsia="Batang" w:hAnsi="Times New Roman"/>
          <w:b/>
          <w:bCs/>
          <w:sz w:val="28"/>
          <w:szCs w:val="28"/>
          <w:lang w:eastAsia="ru-RU"/>
        </w:rPr>
      </w:pPr>
      <w:r>
        <w:rPr>
          <w:rFonts w:ascii="Times New Roman" w:eastAsia="Batang" w:hAnsi="Times New Roman"/>
          <w:b/>
          <w:bCs/>
          <w:sz w:val="28"/>
          <w:szCs w:val="28"/>
          <w:lang w:eastAsia="ru-RU"/>
        </w:rPr>
        <w:t>din ________________ 2025</w:t>
      </w:r>
      <w:r w:rsidRPr="00A26B5C">
        <w:rPr>
          <w:rFonts w:ascii="Times New Roman" w:eastAsia="Batang" w:hAnsi="Times New Roman"/>
          <w:b/>
          <w:bCs/>
          <w:sz w:val="28"/>
          <w:szCs w:val="28"/>
          <w:lang w:eastAsia="ru-RU"/>
        </w:rPr>
        <w:t xml:space="preserve"> </w:t>
      </w:r>
    </w:p>
    <w:p w14:paraId="353DD8DE" w14:textId="77777777" w:rsidR="008115C7" w:rsidRPr="00A26B5C" w:rsidRDefault="008115C7" w:rsidP="001215F9">
      <w:pPr>
        <w:tabs>
          <w:tab w:val="left" w:pos="-142"/>
        </w:tabs>
        <w:spacing w:after="0" w:line="240" w:lineRule="auto"/>
        <w:ind w:right="-472" w:firstLine="567"/>
        <w:jc w:val="center"/>
        <w:rPr>
          <w:rFonts w:ascii="Times New Roman" w:eastAsia="Batang" w:hAnsi="Times New Roman"/>
          <w:b/>
          <w:bCs/>
          <w:sz w:val="28"/>
          <w:szCs w:val="28"/>
          <w:lang w:eastAsia="ru-RU"/>
        </w:rPr>
      </w:pPr>
      <w:r w:rsidRPr="00A26B5C">
        <w:rPr>
          <w:rFonts w:ascii="Times New Roman" w:eastAsia="Batang" w:hAnsi="Times New Roman"/>
          <w:b/>
          <w:bCs/>
          <w:sz w:val="28"/>
          <w:szCs w:val="28"/>
          <w:lang w:eastAsia="ru-RU"/>
        </w:rPr>
        <w:t xml:space="preserve">Chișinău </w:t>
      </w:r>
    </w:p>
    <w:p w14:paraId="20B579CB" w14:textId="77777777" w:rsidR="008115C7" w:rsidRPr="00A26B5C" w:rsidRDefault="008115C7" w:rsidP="001215F9">
      <w:pPr>
        <w:tabs>
          <w:tab w:val="left" w:pos="-142"/>
        </w:tabs>
        <w:spacing w:after="0" w:line="240" w:lineRule="auto"/>
        <w:ind w:right="-472" w:firstLine="567"/>
        <w:jc w:val="center"/>
        <w:rPr>
          <w:rFonts w:ascii="Times New Roman" w:eastAsia="Batang" w:hAnsi="Times New Roman"/>
          <w:b/>
          <w:bCs/>
          <w:sz w:val="28"/>
          <w:szCs w:val="28"/>
          <w:lang w:eastAsia="ru-RU"/>
        </w:rPr>
      </w:pPr>
    </w:p>
    <w:p w14:paraId="6D0E1C9D" w14:textId="77777777" w:rsidR="008115C7" w:rsidRPr="003C30EB" w:rsidRDefault="008115C7" w:rsidP="001215F9">
      <w:pPr>
        <w:pStyle w:val="BodyTextIndent"/>
        <w:ind w:firstLine="709"/>
        <w:jc w:val="center"/>
        <w:rPr>
          <w:b/>
          <w:szCs w:val="28"/>
        </w:rPr>
      </w:pPr>
      <w:r w:rsidRPr="003C30EB">
        <w:rPr>
          <w:b/>
          <w:szCs w:val="28"/>
        </w:rPr>
        <w:t>Cu privire la abrogarea unor hotărâri ale Guvernului</w:t>
      </w:r>
    </w:p>
    <w:p w14:paraId="516C91E5" w14:textId="77777777" w:rsidR="008115C7" w:rsidRPr="00A26B5C" w:rsidRDefault="008115C7" w:rsidP="001215F9">
      <w:pPr>
        <w:spacing w:after="0" w:line="240" w:lineRule="auto"/>
        <w:ind w:right="-472" w:firstLine="426"/>
        <w:jc w:val="center"/>
        <w:rPr>
          <w:rFonts w:ascii="Times New Roman" w:hAnsi="Times New Roman"/>
          <w:b/>
          <w:sz w:val="28"/>
          <w:szCs w:val="28"/>
        </w:rPr>
      </w:pPr>
    </w:p>
    <w:p w14:paraId="4D25D688" w14:textId="77777777" w:rsidR="008115C7" w:rsidRPr="00A26B5C" w:rsidRDefault="008115C7" w:rsidP="001215F9">
      <w:pPr>
        <w:spacing w:after="0" w:line="240" w:lineRule="auto"/>
        <w:ind w:right="-472" w:firstLine="426"/>
        <w:jc w:val="center"/>
        <w:rPr>
          <w:rFonts w:ascii="Times New Roman" w:hAnsi="Times New Roman"/>
          <w:b/>
          <w:sz w:val="28"/>
          <w:szCs w:val="28"/>
        </w:rPr>
      </w:pPr>
    </w:p>
    <w:p w14:paraId="3FA3FF2A" w14:textId="77777777" w:rsidR="008115C7" w:rsidRPr="00A26B5C" w:rsidRDefault="008115C7" w:rsidP="001215F9">
      <w:pPr>
        <w:tabs>
          <w:tab w:val="left" w:pos="3630"/>
          <w:tab w:val="center" w:pos="4677"/>
        </w:tabs>
        <w:ind w:right="-472" w:firstLine="709"/>
        <w:jc w:val="both"/>
        <w:rPr>
          <w:rFonts w:ascii="Times New Roman" w:hAnsi="Times New Roman"/>
          <w:sz w:val="28"/>
          <w:szCs w:val="28"/>
        </w:rPr>
      </w:pPr>
      <w:r w:rsidRPr="00A26B5C">
        <w:rPr>
          <w:rFonts w:ascii="Times New Roman" w:hAnsi="Times New Roman"/>
          <w:sz w:val="28"/>
          <w:szCs w:val="28"/>
        </w:rPr>
        <w:t xml:space="preserve">Guvernul </w:t>
      </w:r>
      <w:r w:rsidRPr="00A26B5C">
        <w:rPr>
          <w:rFonts w:ascii="Times New Roman" w:eastAsia="Calibri" w:hAnsi="Times New Roman"/>
          <w:b/>
          <w:bCs/>
          <w:sz w:val="28"/>
          <w:szCs w:val="28"/>
          <w:lang w:eastAsia="ru-RU"/>
        </w:rPr>
        <w:t>HOTĂRĂŞTE</w:t>
      </w:r>
      <w:r w:rsidRPr="00A26B5C">
        <w:rPr>
          <w:rFonts w:ascii="Times New Roman" w:eastAsia="Calibri" w:hAnsi="Times New Roman"/>
          <w:bCs/>
          <w:sz w:val="28"/>
          <w:szCs w:val="28"/>
          <w:lang w:eastAsia="ru-RU"/>
        </w:rPr>
        <w:t>:</w:t>
      </w:r>
    </w:p>
    <w:p w14:paraId="1180CD58" w14:textId="77777777" w:rsidR="008115C7" w:rsidRPr="00A26B5C" w:rsidRDefault="008115C7" w:rsidP="001215F9">
      <w:pPr>
        <w:spacing w:after="0"/>
        <w:ind w:right="-472" w:firstLine="426"/>
        <w:jc w:val="both"/>
        <w:rPr>
          <w:rFonts w:ascii="Times New Roman" w:hAnsi="Times New Roman"/>
          <w:b/>
          <w:sz w:val="28"/>
          <w:szCs w:val="28"/>
        </w:rPr>
      </w:pPr>
    </w:p>
    <w:p w14:paraId="15526FB4" w14:textId="3FF4BE25" w:rsidR="008115C7" w:rsidRPr="00A26B5C" w:rsidRDefault="008115C7" w:rsidP="001215F9">
      <w:pPr>
        <w:pStyle w:val="HTMLPreformatted"/>
        <w:tabs>
          <w:tab w:val="clear" w:pos="916"/>
          <w:tab w:val="left" w:pos="426"/>
          <w:tab w:val="left" w:pos="709"/>
          <w:tab w:val="left" w:pos="993"/>
          <w:tab w:val="left" w:pos="1134"/>
        </w:tabs>
        <w:spacing w:line="276" w:lineRule="auto"/>
        <w:ind w:left="567" w:right="-472"/>
        <w:jc w:val="both"/>
        <w:rPr>
          <w:rFonts w:ascii="Times New Roman" w:hAnsi="Times New Roman"/>
          <w:noProof/>
          <w:sz w:val="28"/>
          <w:szCs w:val="28"/>
          <w:lang w:val="ro-RO"/>
        </w:rPr>
      </w:pPr>
      <w:r w:rsidRPr="00A26B5C">
        <w:rPr>
          <w:rFonts w:ascii="Times New Roman" w:hAnsi="Times New Roman"/>
          <w:noProof/>
          <w:sz w:val="28"/>
          <w:szCs w:val="28"/>
          <w:lang w:val="ro-RO"/>
        </w:rPr>
        <w:t>Se abrogă</w:t>
      </w:r>
      <w:r w:rsidR="00922AF9">
        <w:rPr>
          <w:rFonts w:ascii="Times New Roman" w:hAnsi="Times New Roman"/>
          <w:noProof/>
          <w:sz w:val="28"/>
          <w:szCs w:val="28"/>
          <w:lang w:val="ro-RO"/>
        </w:rPr>
        <w:t xml:space="preserve"> următoarele hotărâri ale Guvernului</w:t>
      </w:r>
      <w:r w:rsidRPr="00A26B5C">
        <w:rPr>
          <w:rFonts w:ascii="Times New Roman" w:hAnsi="Times New Roman"/>
          <w:noProof/>
          <w:sz w:val="28"/>
          <w:szCs w:val="28"/>
          <w:lang w:val="ro-RO"/>
        </w:rPr>
        <w:t>:</w:t>
      </w:r>
    </w:p>
    <w:p w14:paraId="169411DA" w14:textId="023B393D" w:rsidR="008115C7" w:rsidRDefault="00B802ED" w:rsidP="001215F9">
      <w:pPr>
        <w:pStyle w:val="ListParagraph"/>
        <w:numPr>
          <w:ilvl w:val="0"/>
          <w:numId w:val="2"/>
        </w:numPr>
        <w:tabs>
          <w:tab w:val="left" w:pos="993"/>
        </w:tabs>
        <w:spacing w:after="0"/>
        <w:ind w:left="0" w:right="-472" w:firstLine="567"/>
        <w:jc w:val="both"/>
        <w:rPr>
          <w:rFonts w:ascii="Times New Roman" w:eastAsia="Calibri" w:hAnsi="Times New Roman" w:cs="Courier New"/>
          <w:noProof/>
          <w:sz w:val="28"/>
          <w:szCs w:val="28"/>
          <w:lang w:eastAsia="ru-RU"/>
        </w:rPr>
      </w:pPr>
      <w:r>
        <w:rPr>
          <w:rFonts w:ascii="Times New Roman" w:hAnsi="Times New Roman"/>
          <w:noProof/>
          <w:sz w:val="28"/>
          <w:szCs w:val="28"/>
        </w:rPr>
        <w:t>Hotărârea Guvernului nr.1643/</w:t>
      </w:r>
      <w:r w:rsidR="00FD7138" w:rsidRPr="00EC3832">
        <w:rPr>
          <w:rFonts w:ascii="Times New Roman" w:hAnsi="Times New Roman"/>
          <w:noProof/>
          <w:sz w:val="28"/>
          <w:szCs w:val="28"/>
        </w:rPr>
        <w:t xml:space="preserve">2002 </w:t>
      </w:r>
      <w:r w:rsidR="00FD7138">
        <w:rPr>
          <w:rFonts w:ascii="Times New Roman" w:hAnsi="Times New Roman"/>
          <w:noProof/>
          <w:sz w:val="28"/>
          <w:szCs w:val="28"/>
        </w:rPr>
        <w:t>cu privire la aprobarea P</w:t>
      </w:r>
      <w:r w:rsidR="00EC3832" w:rsidRPr="00EC3832">
        <w:rPr>
          <w:rFonts w:ascii="Times New Roman" w:hAnsi="Times New Roman"/>
          <w:noProof/>
          <w:sz w:val="28"/>
          <w:szCs w:val="28"/>
        </w:rPr>
        <w:t>rogr</w:t>
      </w:r>
      <w:r w:rsidR="00FD7138">
        <w:rPr>
          <w:rFonts w:ascii="Times New Roman" w:hAnsi="Times New Roman"/>
          <w:noProof/>
          <w:sz w:val="28"/>
          <w:szCs w:val="28"/>
        </w:rPr>
        <w:t>amului național de gazificare a</w:t>
      </w:r>
      <w:r w:rsidR="00696A69">
        <w:rPr>
          <w:rFonts w:ascii="Times New Roman" w:hAnsi="Times New Roman"/>
          <w:noProof/>
          <w:sz w:val="28"/>
          <w:szCs w:val="28"/>
        </w:rPr>
        <w:t xml:space="preserve"> Republicii Moldova</w:t>
      </w:r>
      <w:r w:rsidR="00EC3832" w:rsidRPr="00EC3832">
        <w:rPr>
          <w:rFonts w:ascii="Times New Roman" w:hAnsi="Times New Roman"/>
          <w:noProof/>
          <w:sz w:val="28"/>
          <w:szCs w:val="28"/>
        </w:rPr>
        <w:t xml:space="preserve"> </w:t>
      </w:r>
      <w:r w:rsidR="008115C7" w:rsidRPr="008115C7">
        <w:rPr>
          <w:rFonts w:ascii="Times New Roman" w:eastAsia="Calibri" w:hAnsi="Times New Roman" w:cs="Courier New"/>
          <w:noProof/>
          <w:sz w:val="28"/>
          <w:szCs w:val="28"/>
          <w:lang w:eastAsia="ru-RU"/>
        </w:rPr>
        <w:t>(</w:t>
      </w:r>
      <w:r w:rsidR="008115C7" w:rsidRPr="00FD7138">
        <w:rPr>
          <w:rFonts w:ascii="Times New Roman" w:eastAsia="Calibri" w:hAnsi="Times New Roman" w:cs="Courier New"/>
          <w:noProof/>
          <w:sz w:val="28"/>
          <w:szCs w:val="28"/>
          <w:lang w:eastAsia="ru-RU"/>
        </w:rPr>
        <w:t>Monitorul Ofi</w:t>
      </w:r>
      <w:r w:rsidR="00FD7138">
        <w:rPr>
          <w:rFonts w:ascii="Times New Roman" w:eastAsia="Calibri" w:hAnsi="Times New Roman" w:cs="Courier New"/>
          <w:noProof/>
          <w:sz w:val="28"/>
          <w:szCs w:val="28"/>
          <w:lang w:eastAsia="ru-RU"/>
        </w:rPr>
        <w:t>cial al Republicii Moldova, 2002</w:t>
      </w:r>
      <w:r w:rsidR="008115C7" w:rsidRPr="00FD7138">
        <w:rPr>
          <w:rFonts w:ascii="Times New Roman" w:eastAsia="Calibri" w:hAnsi="Times New Roman" w:cs="Courier New"/>
          <w:noProof/>
          <w:sz w:val="28"/>
          <w:szCs w:val="28"/>
          <w:lang w:eastAsia="ru-RU"/>
        </w:rPr>
        <w:t xml:space="preserve">, </w:t>
      </w:r>
      <w:r w:rsidR="00FD7138" w:rsidRPr="00FD7138">
        <w:rPr>
          <w:rFonts w:ascii="Times New Roman" w:eastAsia="Calibri" w:hAnsi="Times New Roman" w:cs="Courier New"/>
          <w:noProof/>
          <w:sz w:val="28"/>
          <w:szCs w:val="28"/>
          <w:lang w:eastAsia="ru-RU"/>
        </w:rPr>
        <w:t>nr. 190-197</w:t>
      </w:r>
      <w:r w:rsidR="008115C7" w:rsidRPr="00FD7138">
        <w:rPr>
          <w:rFonts w:ascii="Times New Roman" w:eastAsia="Calibri" w:hAnsi="Times New Roman" w:cs="Courier New"/>
          <w:noProof/>
          <w:sz w:val="28"/>
          <w:szCs w:val="28"/>
          <w:lang w:eastAsia="ru-RU"/>
        </w:rPr>
        <w:t xml:space="preserve">, art. </w:t>
      </w:r>
      <w:r w:rsidR="00FD7138" w:rsidRPr="00FD7138">
        <w:rPr>
          <w:rFonts w:ascii="Times New Roman" w:eastAsia="Calibri" w:hAnsi="Times New Roman" w:cs="Courier New"/>
          <w:noProof/>
          <w:sz w:val="28"/>
          <w:szCs w:val="28"/>
          <w:lang w:eastAsia="ru-RU"/>
        </w:rPr>
        <w:t>1878</w:t>
      </w:r>
      <w:r w:rsidR="008115C7" w:rsidRPr="00FD7138">
        <w:rPr>
          <w:rFonts w:ascii="Times New Roman" w:eastAsia="Calibri" w:hAnsi="Times New Roman" w:cs="Courier New"/>
          <w:noProof/>
          <w:sz w:val="28"/>
          <w:szCs w:val="28"/>
          <w:lang w:eastAsia="ru-RU"/>
        </w:rPr>
        <w:t>)</w:t>
      </w:r>
      <w:r w:rsidR="00380BAB">
        <w:rPr>
          <w:rFonts w:ascii="Times New Roman" w:eastAsia="Calibri" w:hAnsi="Times New Roman" w:cs="Courier New"/>
          <w:noProof/>
          <w:sz w:val="28"/>
          <w:szCs w:val="28"/>
          <w:lang w:eastAsia="ru-RU"/>
        </w:rPr>
        <w:t xml:space="preserve">, </w:t>
      </w:r>
      <w:r w:rsidR="00380BAB" w:rsidRPr="00E254D5">
        <w:rPr>
          <w:rFonts w:ascii="Times New Roman" w:eastAsia="Calibri" w:hAnsi="Times New Roman" w:cs="Courier New"/>
          <w:noProof/>
          <w:sz w:val="28"/>
          <w:szCs w:val="28"/>
          <w:lang w:eastAsia="ru-RU"/>
        </w:rPr>
        <w:t>cu modificările ulterioare</w:t>
      </w:r>
      <w:r w:rsidR="008115C7" w:rsidRPr="00E254D5">
        <w:rPr>
          <w:rFonts w:ascii="Times New Roman" w:eastAsia="Calibri" w:hAnsi="Times New Roman" w:cs="Courier New"/>
          <w:noProof/>
          <w:sz w:val="28"/>
          <w:szCs w:val="28"/>
          <w:lang w:eastAsia="ru-RU"/>
        </w:rPr>
        <w:t>;</w:t>
      </w:r>
    </w:p>
    <w:p w14:paraId="497D9A48" w14:textId="44B27210" w:rsidR="000F5562" w:rsidRDefault="000F5562" w:rsidP="001215F9">
      <w:pPr>
        <w:pStyle w:val="ListParagraph"/>
        <w:numPr>
          <w:ilvl w:val="0"/>
          <w:numId w:val="2"/>
        </w:numPr>
        <w:tabs>
          <w:tab w:val="left" w:pos="993"/>
        </w:tabs>
        <w:spacing w:after="0"/>
        <w:ind w:left="0" w:right="-472" w:firstLine="567"/>
        <w:jc w:val="both"/>
        <w:rPr>
          <w:rFonts w:ascii="Times New Roman" w:hAnsi="Times New Roman"/>
          <w:noProof/>
          <w:sz w:val="28"/>
          <w:szCs w:val="28"/>
        </w:rPr>
      </w:pPr>
      <w:r>
        <w:rPr>
          <w:rFonts w:ascii="Times New Roman" w:hAnsi="Times New Roman"/>
          <w:noProof/>
          <w:sz w:val="28"/>
          <w:szCs w:val="28"/>
        </w:rPr>
        <w:t>Hotă</w:t>
      </w:r>
      <w:r w:rsidR="009529EF">
        <w:rPr>
          <w:rFonts w:ascii="Times New Roman" w:hAnsi="Times New Roman"/>
          <w:noProof/>
          <w:sz w:val="28"/>
          <w:szCs w:val="28"/>
        </w:rPr>
        <w:t>rârea</w:t>
      </w:r>
      <w:r>
        <w:rPr>
          <w:rFonts w:ascii="Times New Roman" w:hAnsi="Times New Roman"/>
          <w:noProof/>
          <w:sz w:val="28"/>
          <w:szCs w:val="28"/>
        </w:rPr>
        <w:t xml:space="preserve"> Guvernului nr. 1226/</w:t>
      </w:r>
      <w:r w:rsidRPr="000F5562">
        <w:rPr>
          <w:rFonts w:ascii="Times New Roman" w:hAnsi="Times New Roman"/>
          <w:noProof/>
          <w:sz w:val="28"/>
          <w:szCs w:val="28"/>
        </w:rPr>
        <w:t xml:space="preserve">2002 cu privire la aprobarea Regulamentului de organizare şi executare a lucrărilor de proiectare, montare şi recepţie a sistemelor de aprovizionare cu gaze (Monitorul Oficial </w:t>
      </w:r>
      <w:r>
        <w:rPr>
          <w:rFonts w:ascii="Times New Roman" w:eastAsia="Calibri" w:hAnsi="Times New Roman" w:cs="Courier New"/>
          <w:noProof/>
          <w:sz w:val="28"/>
          <w:szCs w:val="28"/>
          <w:lang w:eastAsia="ru-RU"/>
        </w:rPr>
        <w:t>al Republicii Moldova</w:t>
      </w:r>
      <w:r>
        <w:rPr>
          <w:rFonts w:ascii="Times New Roman" w:hAnsi="Times New Roman"/>
          <w:noProof/>
          <w:sz w:val="28"/>
          <w:szCs w:val="28"/>
        </w:rPr>
        <w:t>, 2002, nr.131-134, art. 1356</w:t>
      </w:r>
      <w:r w:rsidRPr="000F5562">
        <w:rPr>
          <w:rFonts w:ascii="Times New Roman" w:hAnsi="Times New Roman"/>
          <w:noProof/>
          <w:sz w:val="28"/>
          <w:szCs w:val="28"/>
        </w:rPr>
        <w:t>)</w:t>
      </w:r>
      <w:r w:rsidR="008363FC">
        <w:rPr>
          <w:rFonts w:ascii="Times New Roman" w:hAnsi="Times New Roman"/>
          <w:noProof/>
          <w:sz w:val="28"/>
          <w:szCs w:val="28"/>
        </w:rPr>
        <w:t>;</w:t>
      </w:r>
    </w:p>
    <w:p w14:paraId="6CF6091C" w14:textId="3A8D221A" w:rsidR="008363FC" w:rsidRDefault="009529EF" w:rsidP="001215F9">
      <w:pPr>
        <w:pStyle w:val="ListParagraph"/>
        <w:numPr>
          <w:ilvl w:val="0"/>
          <w:numId w:val="2"/>
        </w:numPr>
        <w:tabs>
          <w:tab w:val="left" w:pos="993"/>
        </w:tabs>
        <w:spacing w:after="0"/>
        <w:ind w:left="0" w:right="-472" w:firstLine="567"/>
        <w:jc w:val="both"/>
        <w:rPr>
          <w:rFonts w:ascii="Times New Roman" w:hAnsi="Times New Roman"/>
          <w:noProof/>
          <w:sz w:val="28"/>
          <w:szCs w:val="28"/>
        </w:rPr>
      </w:pPr>
      <w:r>
        <w:rPr>
          <w:rFonts w:ascii="Times New Roman" w:hAnsi="Times New Roman"/>
          <w:noProof/>
          <w:sz w:val="28"/>
          <w:szCs w:val="28"/>
        </w:rPr>
        <w:t>Hotărârea</w:t>
      </w:r>
      <w:r w:rsidR="00CC5E65" w:rsidRPr="00CC5E65">
        <w:rPr>
          <w:rFonts w:ascii="Times New Roman" w:hAnsi="Times New Roman"/>
          <w:noProof/>
          <w:sz w:val="28"/>
          <w:szCs w:val="28"/>
        </w:rPr>
        <w:t xml:space="preserve"> Guver</w:t>
      </w:r>
      <w:r w:rsidR="00CC5E65">
        <w:rPr>
          <w:rFonts w:ascii="Times New Roman" w:hAnsi="Times New Roman"/>
          <w:noProof/>
          <w:sz w:val="28"/>
          <w:szCs w:val="28"/>
        </w:rPr>
        <w:t>nului nr.</w:t>
      </w:r>
      <w:r w:rsidR="00CC5E65" w:rsidRPr="00CC5E65">
        <w:rPr>
          <w:rFonts w:ascii="Times New Roman" w:hAnsi="Times New Roman"/>
          <w:noProof/>
          <w:sz w:val="28"/>
          <w:szCs w:val="28"/>
        </w:rPr>
        <w:t xml:space="preserve"> 268/</w:t>
      </w:r>
      <w:r w:rsidR="00CC5E65" w:rsidRPr="00E254D5">
        <w:rPr>
          <w:rFonts w:ascii="Times New Roman" w:hAnsi="Times New Roman"/>
          <w:noProof/>
          <w:sz w:val="28"/>
          <w:szCs w:val="28"/>
        </w:rPr>
        <w:t>2005</w:t>
      </w:r>
      <w:r w:rsidR="00CC5E65" w:rsidRPr="00CC5E65">
        <w:rPr>
          <w:rFonts w:ascii="Times New Roman" w:hAnsi="Times New Roman"/>
          <w:noProof/>
          <w:sz w:val="28"/>
          <w:szCs w:val="28"/>
        </w:rPr>
        <w:t xml:space="preserve"> cu privire la aprobarea Modului de formare a preţurilor pentru proiectarea şi construcţia sistemelor de alimentare cu gaze naturale şi apă potabilă (Monitorul Oficial </w:t>
      </w:r>
      <w:r w:rsidR="00CC5E65">
        <w:rPr>
          <w:rFonts w:ascii="Times New Roman" w:eastAsia="Calibri" w:hAnsi="Times New Roman" w:cs="Courier New"/>
          <w:noProof/>
          <w:sz w:val="28"/>
          <w:szCs w:val="28"/>
          <w:lang w:eastAsia="ru-RU"/>
        </w:rPr>
        <w:t>al Republicii Moldova</w:t>
      </w:r>
      <w:r w:rsidR="00CC5E65">
        <w:rPr>
          <w:rFonts w:ascii="Times New Roman" w:hAnsi="Times New Roman"/>
          <w:noProof/>
          <w:sz w:val="28"/>
          <w:szCs w:val="28"/>
        </w:rPr>
        <w:t xml:space="preserve">, 2005, nr. 51-54, art. </w:t>
      </w:r>
      <w:r w:rsidR="00CC5E65" w:rsidRPr="00CC5E65">
        <w:rPr>
          <w:rFonts w:ascii="Times New Roman" w:hAnsi="Times New Roman"/>
          <w:noProof/>
          <w:sz w:val="28"/>
          <w:szCs w:val="28"/>
        </w:rPr>
        <w:t>355)</w:t>
      </w:r>
      <w:r w:rsidR="00CC5E65">
        <w:rPr>
          <w:rFonts w:ascii="Times New Roman" w:hAnsi="Times New Roman"/>
          <w:noProof/>
          <w:sz w:val="28"/>
          <w:szCs w:val="28"/>
        </w:rPr>
        <w:t>;</w:t>
      </w:r>
    </w:p>
    <w:p w14:paraId="6210A55A" w14:textId="7EFB00CC" w:rsidR="000B3073" w:rsidRPr="000B3073" w:rsidRDefault="009529EF" w:rsidP="001215F9">
      <w:pPr>
        <w:pStyle w:val="ListParagraph"/>
        <w:numPr>
          <w:ilvl w:val="0"/>
          <w:numId w:val="2"/>
        </w:numPr>
        <w:tabs>
          <w:tab w:val="left" w:pos="993"/>
        </w:tabs>
        <w:spacing w:after="0"/>
        <w:ind w:left="0" w:right="-472" w:firstLine="567"/>
        <w:jc w:val="both"/>
        <w:rPr>
          <w:rFonts w:ascii="Times New Roman" w:hAnsi="Times New Roman"/>
          <w:noProof/>
          <w:sz w:val="28"/>
          <w:szCs w:val="28"/>
        </w:rPr>
      </w:pPr>
      <w:r>
        <w:rPr>
          <w:rFonts w:ascii="Times New Roman" w:hAnsi="Times New Roman"/>
          <w:noProof/>
          <w:sz w:val="28"/>
          <w:szCs w:val="28"/>
        </w:rPr>
        <w:t>Hotărârea</w:t>
      </w:r>
      <w:r w:rsidRPr="009529EF">
        <w:rPr>
          <w:rFonts w:ascii="Times New Roman" w:hAnsi="Times New Roman"/>
          <w:noProof/>
          <w:sz w:val="28"/>
          <w:szCs w:val="28"/>
        </w:rPr>
        <w:t xml:space="preserve"> Guvernului </w:t>
      </w:r>
      <w:r>
        <w:rPr>
          <w:rFonts w:ascii="Times New Roman" w:hAnsi="Times New Roman"/>
          <w:noProof/>
          <w:sz w:val="28"/>
          <w:szCs w:val="28"/>
        </w:rPr>
        <w:t>nr. 123/</w:t>
      </w:r>
      <w:r w:rsidRPr="009529EF">
        <w:rPr>
          <w:rFonts w:ascii="Times New Roman" w:hAnsi="Times New Roman"/>
          <w:noProof/>
          <w:sz w:val="28"/>
          <w:szCs w:val="28"/>
        </w:rPr>
        <w:t xml:space="preserve">2007 cu privire la aprobarea Instrucţiunilor metodice privind implementarea Modului de formare a preţurilor pentru proiectarea şi construcţia sistemelor de alimentare cu gaze naturale şi apă potabilă (Monitorul Oficial </w:t>
      </w:r>
      <w:r>
        <w:rPr>
          <w:rFonts w:ascii="Times New Roman" w:hAnsi="Times New Roman"/>
          <w:noProof/>
          <w:sz w:val="28"/>
          <w:szCs w:val="28"/>
        </w:rPr>
        <w:t xml:space="preserve">al Republicii Moldova, 2007, nr. </w:t>
      </w:r>
      <w:r w:rsidRPr="009529EF">
        <w:rPr>
          <w:rFonts w:ascii="Times New Roman" w:hAnsi="Times New Roman"/>
          <w:noProof/>
          <w:sz w:val="28"/>
          <w:szCs w:val="28"/>
        </w:rPr>
        <w:t>5</w:t>
      </w:r>
      <w:r>
        <w:rPr>
          <w:rFonts w:ascii="Times New Roman" w:hAnsi="Times New Roman"/>
          <w:noProof/>
          <w:sz w:val="28"/>
          <w:szCs w:val="28"/>
        </w:rPr>
        <w:t xml:space="preserve">4-56, art. </w:t>
      </w:r>
      <w:r w:rsidRPr="009529EF">
        <w:rPr>
          <w:rFonts w:ascii="Times New Roman" w:hAnsi="Times New Roman"/>
          <w:noProof/>
          <w:sz w:val="28"/>
          <w:szCs w:val="28"/>
        </w:rPr>
        <w:t>396)</w:t>
      </w:r>
      <w:r>
        <w:rPr>
          <w:rFonts w:ascii="Times New Roman" w:hAnsi="Times New Roman"/>
          <w:noProof/>
          <w:sz w:val="28"/>
          <w:szCs w:val="28"/>
        </w:rPr>
        <w:t>;</w:t>
      </w:r>
    </w:p>
    <w:p w14:paraId="72949DEF" w14:textId="399C5AC9" w:rsidR="0073567C" w:rsidRPr="0073567C" w:rsidRDefault="0073567C" w:rsidP="001215F9">
      <w:pPr>
        <w:pStyle w:val="ListParagraph"/>
        <w:numPr>
          <w:ilvl w:val="0"/>
          <w:numId w:val="2"/>
        </w:numPr>
        <w:tabs>
          <w:tab w:val="left" w:pos="993"/>
        </w:tabs>
        <w:spacing w:after="0"/>
        <w:ind w:left="0" w:right="-472" w:firstLine="567"/>
        <w:jc w:val="both"/>
        <w:rPr>
          <w:rFonts w:ascii="Times New Roman" w:eastAsia="Calibri" w:hAnsi="Times New Roman" w:cs="Courier New"/>
          <w:noProof/>
          <w:sz w:val="28"/>
          <w:szCs w:val="28"/>
          <w:lang w:eastAsia="ru-RU"/>
        </w:rPr>
      </w:pPr>
      <w:r>
        <w:rPr>
          <w:rFonts w:ascii="Times New Roman" w:eastAsia="Calibri" w:hAnsi="Times New Roman" w:cs="Courier New"/>
          <w:noProof/>
          <w:sz w:val="28"/>
          <w:szCs w:val="28"/>
          <w:lang w:eastAsia="ru-RU"/>
        </w:rPr>
        <w:t>Hotărârea</w:t>
      </w:r>
      <w:r w:rsidRPr="0073567C">
        <w:rPr>
          <w:rFonts w:ascii="Times New Roman" w:eastAsia="Calibri" w:hAnsi="Times New Roman" w:cs="Courier New"/>
          <w:noProof/>
          <w:sz w:val="28"/>
          <w:szCs w:val="28"/>
          <w:lang w:eastAsia="ru-RU"/>
        </w:rPr>
        <w:t xml:space="preserve"> Guvernului nr. 715/2008 cu privire la măsurile de accelerare a procesului de gazificare internă a localităților</w:t>
      </w:r>
      <w:r>
        <w:rPr>
          <w:rFonts w:ascii="Times New Roman" w:eastAsia="Calibri" w:hAnsi="Times New Roman" w:cs="Courier New"/>
          <w:noProof/>
          <w:sz w:val="28"/>
          <w:szCs w:val="28"/>
          <w:lang w:eastAsia="ru-RU"/>
        </w:rPr>
        <w:t xml:space="preserve"> </w:t>
      </w:r>
      <w:r w:rsidRPr="008115C7">
        <w:rPr>
          <w:rFonts w:ascii="Times New Roman" w:eastAsia="Calibri" w:hAnsi="Times New Roman" w:cs="Courier New"/>
          <w:noProof/>
          <w:sz w:val="28"/>
          <w:szCs w:val="28"/>
          <w:lang w:eastAsia="ru-RU"/>
        </w:rPr>
        <w:t>(</w:t>
      </w:r>
      <w:r w:rsidRPr="00FD7138">
        <w:rPr>
          <w:rFonts w:ascii="Times New Roman" w:eastAsia="Calibri" w:hAnsi="Times New Roman" w:cs="Courier New"/>
          <w:noProof/>
          <w:sz w:val="28"/>
          <w:szCs w:val="28"/>
          <w:lang w:eastAsia="ru-RU"/>
        </w:rPr>
        <w:t>Monitorul Ofi</w:t>
      </w:r>
      <w:r>
        <w:rPr>
          <w:rFonts w:ascii="Times New Roman" w:eastAsia="Calibri" w:hAnsi="Times New Roman" w:cs="Courier New"/>
          <w:noProof/>
          <w:sz w:val="28"/>
          <w:szCs w:val="28"/>
          <w:lang w:eastAsia="ru-RU"/>
        </w:rPr>
        <w:t>cial al Republicii Moldova, 2008</w:t>
      </w:r>
      <w:r w:rsidRPr="00FD7138">
        <w:rPr>
          <w:rFonts w:ascii="Times New Roman" w:eastAsia="Calibri" w:hAnsi="Times New Roman" w:cs="Courier New"/>
          <w:noProof/>
          <w:sz w:val="28"/>
          <w:szCs w:val="28"/>
          <w:lang w:eastAsia="ru-RU"/>
        </w:rPr>
        <w:t xml:space="preserve">, </w:t>
      </w:r>
      <w:r>
        <w:rPr>
          <w:rFonts w:ascii="Times New Roman" w:eastAsia="Calibri" w:hAnsi="Times New Roman" w:cs="Courier New"/>
          <w:noProof/>
          <w:sz w:val="28"/>
          <w:szCs w:val="28"/>
          <w:lang w:eastAsia="ru-RU"/>
        </w:rPr>
        <w:t>nr. 1</w:t>
      </w:r>
      <w:r w:rsidRPr="00FD7138">
        <w:rPr>
          <w:rFonts w:ascii="Times New Roman" w:eastAsia="Calibri" w:hAnsi="Times New Roman" w:cs="Courier New"/>
          <w:noProof/>
          <w:sz w:val="28"/>
          <w:szCs w:val="28"/>
          <w:lang w:eastAsia="ru-RU"/>
        </w:rPr>
        <w:t>0</w:t>
      </w:r>
      <w:r>
        <w:rPr>
          <w:rFonts w:ascii="Times New Roman" w:eastAsia="Calibri" w:hAnsi="Times New Roman" w:cs="Courier New"/>
          <w:noProof/>
          <w:sz w:val="28"/>
          <w:szCs w:val="28"/>
          <w:lang w:eastAsia="ru-RU"/>
        </w:rPr>
        <w:t>7-109</w:t>
      </w:r>
      <w:r w:rsidRPr="00FD7138">
        <w:rPr>
          <w:rFonts w:ascii="Times New Roman" w:eastAsia="Calibri" w:hAnsi="Times New Roman" w:cs="Courier New"/>
          <w:noProof/>
          <w:sz w:val="28"/>
          <w:szCs w:val="28"/>
          <w:lang w:eastAsia="ru-RU"/>
        </w:rPr>
        <w:t xml:space="preserve">, art. </w:t>
      </w:r>
      <w:r>
        <w:rPr>
          <w:rFonts w:ascii="Times New Roman" w:eastAsia="Calibri" w:hAnsi="Times New Roman" w:cs="Courier New"/>
          <w:noProof/>
          <w:sz w:val="28"/>
          <w:szCs w:val="28"/>
          <w:lang w:eastAsia="ru-RU"/>
        </w:rPr>
        <w:t>708</w:t>
      </w:r>
      <w:r w:rsidRPr="00FD7138">
        <w:rPr>
          <w:rFonts w:ascii="Times New Roman" w:eastAsia="Calibri" w:hAnsi="Times New Roman" w:cs="Courier New"/>
          <w:noProof/>
          <w:sz w:val="28"/>
          <w:szCs w:val="28"/>
          <w:lang w:eastAsia="ru-RU"/>
        </w:rPr>
        <w:t>)</w:t>
      </w:r>
      <w:r w:rsidR="001F2589">
        <w:rPr>
          <w:rFonts w:ascii="Times New Roman" w:eastAsia="Calibri" w:hAnsi="Times New Roman" w:cs="Courier New"/>
          <w:noProof/>
          <w:sz w:val="28"/>
          <w:szCs w:val="28"/>
          <w:lang w:eastAsia="ru-RU"/>
        </w:rPr>
        <w:t>.</w:t>
      </w:r>
    </w:p>
    <w:p w14:paraId="2E476E86" w14:textId="653AA820" w:rsidR="00C877F9" w:rsidRDefault="00C877F9" w:rsidP="001215F9">
      <w:pPr>
        <w:spacing w:after="0" w:line="240" w:lineRule="auto"/>
        <w:jc w:val="both"/>
      </w:pPr>
    </w:p>
    <w:p w14:paraId="1650C658" w14:textId="77777777" w:rsidR="00922AF9" w:rsidRDefault="00922AF9" w:rsidP="001215F9">
      <w:pPr>
        <w:spacing w:after="0" w:line="240" w:lineRule="auto"/>
        <w:jc w:val="both"/>
      </w:pPr>
    </w:p>
    <w:tbl>
      <w:tblPr>
        <w:tblW w:w="0" w:type="auto"/>
        <w:tblInd w:w="567" w:type="dxa"/>
        <w:tblCellMar>
          <w:top w:w="15" w:type="dxa"/>
          <w:left w:w="15" w:type="dxa"/>
          <w:bottom w:w="15" w:type="dxa"/>
          <w:right w:w="15" w:type="dxa"/>
        </w:tblCellMar>
        <w:tblLook w:val="04A0" w:firstRow="1" w:lastRow="0" w:firstColumn="1" w:lastColumn="0" w:noHBand="0" w:noVBand="1"/>
      </w:tblPr>
      <w:tblGrid>
        <w:gridCol w:w="4378"/>
        <w:gridCol w:w="4135"/>
      </w:tblGrid>
      <w:tr w:rsidR="00C877F9" w:rsidRPr="00C877F9" w14:paraId="79A0B813" w14:textId="77777777" w:rsidTr="00922AF9">
        <w:tc>
          <w:tcPr>
            <w:tcW w:w="4378" w:type="dxa"/>
            <w:tcMar>
              <w:top w:w="15" w:type="dxa"/>
              <w:left w:w="45" w:type="dxa"/>
              <w:bottom w:w="15" w:type="dxa"/>
              <w:right w:w="45" w:type="dxa"/>
            </w:tcMar>
            <w:hideMark/>
          </w:tcPr>
          <w:p w14:paraId="0567C62D" w14:textId="77777777" w:rsidR="00C877F9" w:rsidRPr="00C877F9" w:rsidRDefault="00C877F9" w:rsidP="001215F9">
            <w:pPr>
              <w:spacing w:after="0" w:line="240" w:lineRule="auto"/>
              <w:rPr>
                <w:rFonts w:ascii="Times New Roman" w:hAnsi="Times New Roman"/>
                <w:b/>
                <w:bCs/>
                <w:sz w:val="28"/>
                <w:szCs w:val="28"/>
                <w:lang w:eastAsia="en-US"/>
              </w:rPr>
            </w:pPr>
            <w:r w:rsidRPr="00C877F9">
              <w:rPr>
                <w:rFonts w:ascii="Times New Roman" w:hAnsi="Times New Roman"/>
                <w:b/>
                <w:bCs/>
                <w:sz w:val="28"/>
                <w:szCs w:val="28"/>
                <w:lang w:eastAsia="en-US"/>
              </w:rPr>
              <w:t>PRIM-MINISTRU</w:t>
            </w:r>
          </w:p>
        </w:tc>
        <w:tc>
          <w:tcPr>
            <w:tcW w:w="4135" w:type="dxa"/>
            <w:tcMar>
              <w:top w:w="15" w:type="dxa"/>
              <w:left w:w="45" w:type="dxa"/>
              <w:bottom w:w="15" w:type="dxa"/>
              <w:right w:w="45" w:type="dxa"/>
            </w:tcMar>
            <w:hideMark/>
          </w:tcPr>
          <w:p w14:paraId="792A685D" w14:textId="77777777" w:rsidR="00C877F9" w:rsidRPr="00C877F9" w:rsidRDefault="00C877F9" w:rsidP="001215F9">
            <w:pPr>
              <w:spacing w:after="0" w:line="240" w:lineRule="auto"/>
              <w:rPr>
                <w:rFonts w:ascii="Times New Roman" w:hAnsi="Times New Roman"/>
                <w:b/>
                <w:bCs/>
                <w:sz w:val="28"/>
                <w:szCs w:val="28"/>
                <w:lang w:eastAsia="en-US"/>
              </w:rPr>
            </w:pPr>
            <w:r w:rsidRPr="00C877F9">
              <w:rPr>
                <w:rFonts w:ascii="Times New Roman" w:hAnsi="Times New Roman"/>
                <w:b/>
                <w:bCs/>
                <w:sz w:val="28"/>
                <w:szCs w:val="28"/>
                <w:lang w:eastAsia="en-US"/>
              </w:rPr>
              <w:t>Dorin RECEAN</w:t>
            </w:r>
          </w:p>
          <w:p w14:paraId="6AF2A494" w14:textId="77777777" w:rsidR="00C877F9" w:rsidRPr="00C877F9" w:rsidRDefault="00C877F9" w:rsidP="001215F9">
            <w:pPr>
              <w:spacing w:after="0" w:line="240" w:lineRule="auto"/>
              <w:ind w:firstLine="567"/>
              <w:jc w:val="both"/>
              <w:rPr>
                <w:rFonts w:ascii="Times New Roman" w:hAnsi="Times New Roman"/>
                <w:b/>
                <w:bCs/>
                <w:sz w:val="28"/>
                <w:szCs w:val="28"/>
                <w:lang w:eastAsia="en-US"/>
              </w:rPr>
            </w:pPr>
            <w:r w:rsidRPr="00C877F9">
              <w:rPr>
                <w:rFonts w:ascii="Times New Roman" w:hAnsi="Times New Roman"/>
                <w:b/>
                <w:bCs/>
                <w:sz w:val="28"/>
                <w:szCs w:val="28"/>
                <w:lang w:eastAsia="en-US"/>
              </w:rPr>
              <w:t> </w:t>
            </w:r>
          </w:p>
        </w:tc>
      </w:tr>
      <w:tr w:rsidR="00C877F9" w:rsidRPr="00C877F9" w14:paraId="684B7F59" w14:textId="77777777" w:rsidTr="00922AF9">
        <w:tc>
          <w:tcPr>
            <w:tcW w:w="4378" w:type="dxa"/>
            <w:tcMar>
              <w:top w:w="15" w:type="dxa"/>
              <w:left w:w="45" w:type="dxa"/>
              <w:bottom w:w="15" w:type="dxa"/>
              <w:right w:w="45" w:type="dxa"/>
            </w:tcMar>
            <w:hideMark/>
          </w:tcPr>
          <w:p w14:paraId="1C411F8E" w14:textId="77777777" w:rsidR="00C877F9" w:rsidRPr="00C877F9" w:rsidRDefault="00C877F9" w:rsidP="001215F9">
            <w:pPr>
              <w:spacing w:after="0" w:line="240" w:lineRule="auto"/>
              <w:rPr>
                <w:rFonts w:ascii="Times New Roman" w:hAnsi="Times New Roman"/>
                <w:b/>
                <w:bCs/>
                <w:sz w:val="28"/>
                <w:szCs w:val="28"/>
                <w:lang w:eastAsia="en-US"/>
              </w:rPr>
            </w:pPr>
            <w:r w:rsidRPr="00C877F9">
              <w:rPr>
                <w:rFonts w:ascii="Times New Roman" w:hAnsi="Times New Roman"/>
                <w:b/>
                <w:bCs/>
                <w:sz w:val="28"/>
                <w:szCs w:val="28"/>
                <w:lang w:eastAsia="en-US"/>
              </w:rPr>
              <w:t>Contrasemnează:</w:t>
            </w:r>
          </w:p>
        </w:tc>
        <w:tc>
          <w:tcPr>
            <w:tcW w:w="4135" w:type="dxa"/>
            <w:vAlign w:val="center"/>
            <w:hideMark/>
          </w:tcPr>
          <w:p w14:paraId="09644F86" w14:textId="77777777" w:rsidR="00C877F9" w:rsidRPr="00C877F9" w:rsidRDefault="00C877F9" w:rsidP="001215F9">
            <w:pPr>
              <w:spacing w:after="0" w:line="240" w:lineRule="auto"/>
              <w:rPr>
                <w:rFonts w:ascii="Times New Roman" w:hAnsi="Times New Roman"/>
                <w:sz w:val="28"/>
                <w:szCs w:val="28"/>
                <w:lang w:eastAsia="en-US"/>
              </w:rPr>
            </w:pPr>
          </w:p>
        </w:tc>
      </w:tr>
      <w:tr w:rsidR="00C877F9" w:rsidRPr="00C877F9" w14:paraId="72876EBC" w14:textId="77777777" w:rsidTr="00922AF9">
        <w:tc>
          <w:tcPr>
            <w:tcW w:w="4378" w:type="dxa"/>
            <w:tcMar>
              <w:top w:w="15" w:type="dxa"/>
              <w:left w:w="45" w:type="dxa"/>
              <w:bottom w:w="15" w:type="dxa"/>
              <w:right w:w="45" w:type="dxa"/>
            </w:tcMar>
          </w:tcPr>
          <w:p w14:paraId="336177F6" w14:textId="77777777" w:rsidR="00C877F9" w:rsidRPr="00C877F9" w:rsidRDefault="00C877F9" w:rsidP="001215F9">
            <w:pPr>
              <w:spacing w:after="0" w:line="240" w:lineRule="auto"/>
              <w:rPr>
                <w:rFonts w:ascii="Times New Roman" w:hAnsi="Times New Roman"/>
                <w:b/>
                <w:bCs/>
                <w:sz w:val="28"/>
                <w:szCs w:val="28"/>
                <w:lang w:eastAsia="en-US"/>
              </w:rPr>
            </w:pPr>
            <w:r>
              <w:rPr>
                <w:rFonts w:ascii="Times New Roman" w:hAnsi="Times New Roman"/>
                <w:b/>
                <w:bCs/>
                <w:sz w:val="28"/>
                <w:szCs w:val="28"/>
                <w:lang w:eastAsia="en-US"/>
              </w:rPr>
              <w:t>Ministrul</w:t>
            </w:r>
            <w:r w:rsidRPr="00C877F9">
              <w:rPr>
                <w:rFonts w:ascii="Times New Roman" w:hAnsi="Times New Roman"/>
                <w:b/>
                <w:bCs/>
                <w:sz w:val="28"/>
                <w:szCs w:val="28"/>
                <w:lang w:eastAsia="en-US"/>
              </w:rPr>
              <w:t xml:space="preserve"> energiei</w:t>
            </w:r>
          </w:p>
        </w:tc>
        <w:tc>
          <w:tcPr>
            <w:tcW w:w="4135" w:type="dxa"/>
          </w:tcPr>
          <w:p w14:paraId="3D43F128" w14:textId="77777777" w:rsidR="00C877F9" w:rsidRPr="00C877F9" w:rsidRDefault="00C877F9" w:rsidP="001215F9">
            <w:pPr>
              <w:spacing w:after="0" w:line="240" w:lineRule="auto"/>
              <w:rPr>
                <w:rFonts w:ascii="Times New Roman" w:hAnsi="Times New Roman"/>
                <w:b/>
                <w:bCs/>
                <w:sz w:val="28"/>
                <w:szCs w:val="28"/>
                <w:lang w:eastAsia="en-US"/>
              </w:rPr>
            </w:pPr>
            <w:r w:rsidRPr="00C877F9">
              <w:rPr>
                <w:rFonts w:ascii="Times New Roman" w:hAnsi="Times New Roman"/>
                <w:b/>
                <w:bCs/>
                <w:sz w:val="28"/>
                <w:szCs w:val="28"/>
                <w:lang w:eastAsia="en-US"/>
              </w:rPr>
              <w:t xml:space="preserve"> Dorin JUNGHIETU</w:t>
            </w:r>
            <w:r>
              <w:br/>
            </w:r>
          </w:p>
        </w:tc>
      </w:tr>
    </w:tbl>
    <w:p w14:paraId="557DF241" w14:textId="5AB0828D" w:rsidR="00EC3832" w:rsidRDefault="00EC3832" w:rsidP="001215F9">
      <w:pPr>
        <w:spacing w:after="0" w:line="240" w:lineRule="auto"/>
        <w:jc w:val="both"/>
      </w:pPr>
    </w:p>
    <w:p w14:paraId="45D807F7" w14:textId="77777777" w:rsidR="006C3F49" w:rsidRDefault="006C3F49" w:rsidP="001215F9">
      <w:pPr>
        <w:spacing w:after="0" w:line="240" w:lineRule="auto"/>
        <w:jc w:val="both"/>
      </w:pPr>
    </w:p>
    <w:p w14:paraId="6E104F24" w14:textId="77777777" w:rsidR="006C3F49" w:rsidRDefault="006C3F49" w:rsidP="001215F9">
      <w:pPr>
        <w:spacing w:after="0" w:line="240" w:lineRule="auto"/>
        <w:jc w:val="both"/>
      </w:pPr>
    </w:p>
    <w:p w14:paraId="408D51D6" w14:textId="77777777" w:rsidR="001215F9" w:rsidRDefault="001215F9" w:rsidP="001215F9">
      <w:pPr>
        <w:spacing w:after="0" w:line="240" w:lineRule="auto"/>
        <w:jc w:val="both"/>
      </w:pPr>
    </w:p>
    <w:p w14:paraId="5BC397C8" w14:textId="77777777" w:rsidR="00EC3832" w:rsidRPr="0018134B" w:rsidRDefault="00EC3832" w:rsidP="001215F9">
      <w:pPr>
        <w:pStyle w:val="NormalWeb"/>
        <w:jc w:val="center"/>
        <w:rPr>
          <w:b/>
          <w:sz w:val="26"/>
          <w:szCs w:val="26"/>
          <w:lang w:val="ro-RO"/>
        </w:rPr>
      </w:pPr>
      <w:r w:rsidRPr="0018134B">
        <w:rPr>
          <w:b/>
          <w:sz w:val="26"/>
          <w:szCs w:val="26"/>
          <w:lang w:val="ro-RO"/>
        </w:rPr>
        <w:lastRenderedPageBreak/>
        <w:t>NOTĂ DE FUNDAMENTARE</w:t>
      </w:r>
    </w:p>
    <w:p w14:paraId="79A2AA45" w14:textId="77777777" w:rsidR="003C30EB" w:rsidRPr="0018134B" w:rsidRDefault="00EC3832" w:rsidP="001215F9">
      <w:pPr>
        <w:pStyle w:val="NoSpacing"/>
        <w:jc w:val="center"/>
        <w:rPr>
          <w:rFonts w:ascii="Times New Roman" w:hAnsi="Times New Roman"/>
          <w:b/>
          <w:bCs/>
          <w:sz w:val="26"/>
          <w:szCs w:val="26"/>
        </w:rPr>
      </w:pPr>
      <w:r w:rsidRPr="0018134B">
        <w:rPr>
          <w:rFonts w:ascii="Times New Roman" w:hAnsi="Times New Roman"/>
          <w:b/>
          <w:sz w:val="26"/>
          <w:szCs w:val="26"/>
        </w:rPr>
        <w:t>la proiectul hotărârii</w:t>
      </w:r>
      <w:r w:rsidRPr="0018134B">
        <w:rPr>
          <w:rFonts w:ascii="Times New Roman" w:hAnsi="Times New Roman"/>
          <w:b/>
          <w:bCs/>
          <w:sz w:val="26"/>
          <w:szCs w:val="26"/>
        </w:rPr>
        <w:t xml:space="preserve"> Guvernului cu privire la </w:t>
      </w:r>
      <w:r w:rsidR="003C30EB" w:rsidRPr="0018134B">
        <w:rPr>
          <w:rFonts w:ascii="Times New Roman" w:hAnsi="Times New Roman"/>
          <w:b/>
          <w:bCs/>
          <w:sz w:val="26"/>
          <w:szCs w:val="26"/>
        </w:rPr>
        <w:t xml:space="preserve">abrogarea </w:t>
      </w:r>
    </w:p>
    <w:p w14:paraId="706B185E" w14:textId="77777777" w:rsidR="00EC3832" w:rsidRPr="0018134B" w:rsidRDefault="003C30EB" w:rsidP="001215F9">
      <w:pPr>
        <w:pStyle w:val="NoSpacing"/>
        <w:spacing w:after="240"/>
        <w:jc w:val="center"/>
        <w:rPr>
          <w:rFonts w:ascii="Times New Roman" w:hAnsi="Times New Roman"/>
          <w:b/>
          <w:sz w:val="26"/>
          <w:szCs w:val="26"/>
        </w:rPr>
      </w:pPr>
      <w:r w:rsidRPr="0018134B">
        <w:rPr>
          <w:rFonts w:ascii="Times New Roman" w:hAnsi="Times New Roman"/>
          <w:b/>
          <w:bCs/>
          <w:sz w:val="26"/>
          <w:szCs w:val="26"/>
        </w:rPr>
        <w:t>unor hotărâri ale Guvernului</w:t>
      </w:r>
    </w:p>
    <w:tbl>
      <w:tblPr>
        <w:tblW w:w="52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41"/>
      </w:tblGrid>
      <w:tr w:rsidR="00EC3832" w:rsidRPr="0018134B" w14:paraId="33C43E4F" w14:textId="77777777" w:rsidTr="00F67277">
        <w:trPr>
          <w:trHeight w:val="351"/>
        </w:trPr>
        <w:tc>
          <w:tcPr>
            <w:tcW w:w="5000" w:type="pct"/>
            <w:shd w:val="clear" w:color="auto" w:fill="DEEAF6" w:themeFill="accent1" w:themeFillTint="33"/>
          </w:tcPr>
          <w:p w14:paraId="5792BF5D" w14:textId="7B44609D" w:rsidR="00EC3832" w:rsidRPr="0018134B" w:rsidRDefault="00EC3832" w:rsidP="001215F9">
            <w:pPr>
              <w:numPr>
                <w:ilvl w:val="3"/>
                <w:numId w:val="3"/>
              </w:numPr>
              <w:tabs>
                <w:tab w:val="clear" w:pos="2880"/>
                <w:tab w:val="left" w:pos="284"/>
                <w:tab w:val="left" w:pos="1196"/>
              </w:tabs>
              <w:spacing w:after="0" w:line="240" w:lineRule="auto"/>
              <w:ind w:left="0" w:firstLine="0"/>
              <w:jc w:val="both"/>
              <w:rPr>
                <w:rFonts w:ascii="Times New Roman" w:hAnsi="Times New Roman"/>
                <w:b/>
                <w:bCs/>
                <w:sz w:val="26"/>
                <w:szCs w:val="26"/>
              </w:rPr>
            </w:pPr>
            <w:r w:rsidRPr="0018134B">
              <w:rPr>
                <w:rFonts w:ascii="Times New Roman" w:hAnsi="Times New Roman"/>
                <w:b/>
                <w:bCs/>
                <w:sz w:val="26"/>
                <w:szCs w:val="26"/>
              </w:rPr>
              <w:t xml:space="preserve"> Denumirea autorului </w:t>
            </w:r>
            <w:r w:rsidR="00D1507A" w:rsidRPr="0018134B">
              <w:rPr>
                <w:rFonts w:ascii="Times New Roman" w:hAnsi="Times New Roman"/>
                <w:b/>
                <w:bCs/>
                <w:sz w:val="26"/>
                <w:szCs w:val="26"/>
              </w:rPr>
              <w:t>și</w:t>
            </w:r>
            <w:r w:rsidRPr="0018134B">
              <w:rPr>
                <w:rFonts w:ascii="Times New Roman" w:hAnsi="Times New Roman"/>
                <w:b/>
                <w:bCs/>
                <w:sz w:val="26"/>
                <w:szCs w:val="26"/>
              </w:rPr>
              <w:t xml:space="preserve">, după caz, a </w:t>
            </w:r>
            <w:r w:rsidR="00D1507A" w:rsidRPr="0018134B">
              <w:rPr>
                <w:rFonts w:ascii="Times New Roman" w:hAnsi="Times New Roman"/>
                <w:b/>
                <w:bCs/>
                <w:sz w:val="26"/>
                <w:szCs w:val="26"/>
              </w:rPr>
              <w:t>participanților</w:t>
            </w:r>
            <w:r w:rsidRPr="0018134B">
              <w:rPr>
                <w:rFonts w:ascii="Times New Roman" w:hAnsi="Times New Roman"/>
                <w:b/>
                <w:bCs/>
                <w:sz w:val="26"/>
                <w:szCs w:val="26"/>
              </w:rPr>
              <w:t xml:space="preserve"> la elaborarea proiectului actului normativ</w:t>
            </w:r>
          </w:p>
        </w:tc>
      </w:tr>
      <w:tr w:rsidR="00EC3832" w:rsidRPr="0018134B" w14:paraId="641754B2" w14:textId="77777777" w:rsidTr="00F67277">
        <w:trPr>
          <w:trHeight w:val="367"/>
        </w:trPr>
        <w:tc>
          <w:tcPr>
            <w:tcW w:w="5000" w:type="pct"/>
          </w:tcPr>
          <w:p w14:paraId="0A972948" w14:textId="62254DC6" w:rsidR="00EC3832" w:rsidRPr="0018134B" w:rsidRDefault="00EC3832" w:rsidP="001215F9">
            <w:pPr>
              <w:tabs>
                <w:tab w:val="left" w:pos="884"/>
                <w:tab w:val="left" w:pos="1196"/>
              </w:tabs>
              <w:spacing w:before="160" w:after="120" w:line="240" w:lineRule="auto"/>
              <w:jc w:val="both"/>
              <w:rPr>
                <w:rFonts w:ascii="Times New Roman" w:hAnsi="Times New Roman"/>
                <w:b/>
                <w:bCs/>
                <w:sz w:val="26"/>
                <w:szCs w:val="26"/>
              </w:rPr>
            </w:pPr>
            <w:r w:rsidRPr="0018134B">
              <w:rPr>
                <w:rFonts w:ascii="Times New Roman" w:hAnsi="Times New Roman"/>
                <w:sz w:val="26"/>
                <w:szCs w:val="26"/>
              </w:rPr>
              <w:t xml:space="preserve">Proiectul hotărârii de Guvern cu privire la </w:t>
            </w:r>
            <w:r w:rsidR="00AD30D4" w:rsidRPr="0018134B">
              <w:rPr>
                <w:rFonts w:ascii="Times New Roman" w:hAnsi="Times New Roman"/>
                <w:sz w:val="26"/>
                <w:szCs w:val="26"/>
              </w:rPr>
              <w:t>abrogarea unor hotărâri ale Guvernului</w:t>
            </w:r>
            <w:r w:rsidR="00605606" w:rsidRPr="0018134B">
              <w:rPr>
                <w:rFonts w:ascii="Times New Roman" w:hAnsi="Times New Roman"/>
                <w:sz w:val="26"/>
                <w:szCs w:val="26"/>
              </w:rPr>
              <w:t xml:space="preserve"> (în continuare </w:t>
            </w:r>
            <w:r w:rsidR="00605606" w:rsidRPr="0018134B">
              <w:rPr>
                <w:rFonts w:ascii="Times New Roman" w:hAnsi="Times New Roman"/>
                <w:i/>
                <w:sz w:val="26"/>
                <w:szCs w:val="26"/>
              </w:rPr>
              <w:t>proiect</w:t>
            </w:r>
            <w:r w:rsidR="00605606" w:rsidRPr="0018134B">
              <w:rPr>
                <w:rFonts w:ascii="Times New Roman" w:hAnsi="Times New Roman"/>
                <w:sz w:val="26"/>
                <w:szCs w:val="26"/>
              </w:rPr>
              <w:t>)</w:t>
            </w:r>
            <w:r w:rsidR="00AD30D4" w:rsidRPr="0018134B">
              <w:rPr>
                <w:rFonts w:ascii="Times New Roman" w:hAnsi="Times New Roman"/>
                <w:sz w:val="26"/>
                <w:szCs w:val="26"/>
              </w:rPr>
              <w:t xml:space="preserve"> </w:t>
            </w:r>
            <w:r w:rsidRPr="0018134B">
              <w:rPr>
                <w:rFonts w:ascii="Times New Roman" w:hAnsi="Times New Roman"/>
                <w:sz w:val="26"/>
                <w:szCs w:val="26"/>
              </w:rPr>
              <w:t>a fost elaborat de către Ministerul Energiei.</w:t>
            </w:r>
          </w:p>
        </w:tc>
      </w:tr>
      <w:tr w:rsidR="00EC3832" w:rsidRPr="0018134B" w14:paraId="51B7A868" w14:textId="77777777" w:rsidTr="00D84CC6">
        <w:trPr>
          <w:trHeight w:val="378"/>
        </w:trPr>
        <w:tc>
          <w:tcPr>
            <w:tcW w:w="5000" w:type="pct"/>
            <w:shd w:val="clear" w:color="auto" w:fill="DEEAF6" w:themeFill="accent1" w:themeFillTint="33"/>
          </w:tcPr>
          <w:p w14:paraId="6E190A93" w14:textId="7E105D4F" w:rsidR="00EC3832" w:rsidRPr="0018134B" w:rsidRDefault="00EC3832" w:rsidP="001215F9">
            <w:pPr>
              <w:tabs>
                <w:tab w:val="left" w:pos="884"/>
                <w:tab w:val="left" w:pos="1196"/>
              </w:tabs>
              <w:spacing w:after="100" w:line="240" w:lineRule="auto"/>
              <w:jc w:val="both"/>
              <w:rPr>
                <w:rFonts w:ascii="Times New Roman" w:hAnsi="Times New Roman"/>
                <w:b/>
                <w:bCs/>
                <w:sz w:val="26"/>
                <w:szCs w:val="26"/>
              </w:rPr>
            </w:pPr>
            <w:r w:rsidRPr="0018134B">
              <w:rPr>
                <w:rFonts w:ascii="Times New Roman" w:hAnsi="Times New Roman"/>
                <w:b/>
                <w:bCs/>
                <w:sz w:val="26"/>
                <w:szCs w:val="26"/>
              </w:rPr>
              <w:t xml:space="preserve">2. </w:t>
            </w:r>
            <w:r w:rsidR="00D1507A" w:rsidRPr="0018134B">
              <w:rPr>
                <w:rFonts w:ascii="Times New Roman" w:hAnsi="Times New Roman"/>
                <w:b/>
                <w:bCs/>
                <w:sz w:val="26"/>
                <w:szCs w:val="26"/>
              </w:rPr>
              <w:t>Condițiile</w:t>
            </w:r>
            <w:r w:rsidRPr="0018134B">
              <w:rPr>
                <w:rFonts w:ascii="Times New Roman" w:hAnsi="Times New Roman"/>
                <w:b/>
                <w:bCs/>
                <w:sz w:val="26"/>
                <w:szCs w:val="26"/>
              </w:rPr>
              <w:t xml:space="preserve"> ce au impus elaborarea proiectului de actului normativ </w:t>
            </w:r>
          </w:p>
        </w:tc>
      </w:tr>
      <w:tr w:rsidR="00EC3832" w:rsidRPr="0018134B" w14:paraId="6A2A8D8E" w14:textId="77777777" w:rsidTr="00F67277">
        <w:trPr>
          <w:trHeight w:val="331"/>
        </w:trPr>
        <w:tc>
          <w:tcPr>
            <w:tcW w:w="5000" w:type="pct"/>
          </w:tcPr>
          <w:p w14:paraId="0DC47321" w14:textId="77777777" w:rsidR="00EC3832" w:rsidRPr="0018134B" w:rsidRDefault="00EC3832" w:rsidP="001215F9">
            <w:pPr>
              <w:tabs>
                <w:tab w:val="left" w:pos="709"/>
                <w:tab w:val="left" w:pos="884"/>
                <w:tab w:val="left" w:pos="1196"/>
              </w:tabs>
              <w:spacing w:before="160" w:after="120" w:line="240" w:lineRule="auto"/>
              <w:jc w:val="both"/>
              <w:rPr>
                <w:rFonts w:ascii="Times New Roman" w:hAnsi="Times New Roman"/>
                <w:b/>
                <w:i/>
                <w:sz w:val="26"/>
                <w:szCs w:val="26"/>
              </w:rPr>
            </w:pPr>
            <w:r w:rsidRPr="0018134B">
              <w:rPr>
                <w:rFonts w:ascii="Times New Roman" w:hAnsi="Times New Roman"/>
                <w:b/>
                <w:i/>
                <w:sz w:val="26"/>
                <w:szCs w:val="26"/>
              </w:rPr>
              <w:t>2.1. Temeiul legal sau, după caz, sursa proiectului actului normativ</w:t>
            </w:r>
          </w:p>
          <w:p w14:paraId="44816831" w14:textId="2833FDCF" w:rsidR="002362E4" w:rsidRPr="0018134B" w:rsidRDefault="00EC3832" w:rsidP="001215F9">
            <w:pPr>
              <w:tabs>
                <w:tab w:val="left" w:pos="709"/>
                <w:tab w:val="left" w:pos="884"/>
                <w:tab w:val="left" w:pos="1196"/>
              </w:tabs>
              <w:spacing w:before="160" w:after="120" w:line="240" w:lineRule="auto"/>
              <w:jc w:val="both"/>
              <w:rPr>
                <w:rFonts w:ascii="Times New Roman" w:hAnsi="Times New Roman"/>
                <w:sz w:val="26"/>
                <w:szCs w:val="26"/>
              </w:rPr>
            </w:pPr>
            <w:r w:rsidRPr="0018134B">
              <w:rPr>
                <w:rFonts w:ascii="Times New Roman" w:hAnsi="Times New Roman"/>
                <w:sz w:val="26"/>
                <w:szCs w:val="26"/>
              </w:rPr>
              <w:t xml:space="preserve">Elaborarea </w:t>
            </w:r>
            <w:r w:rsidR="002362E4" w:rsidRPr="0018134B">
              <w:rPr>
                <w:rFonts w:ascii="Times New Roman" w:hAnsi="Times New Roman"/>
                <w:sz w:val="26"/>
                <w:szCs w:val="26"/>
              </w:rPr>
              <w:t>proiect</w:t>
            </w:r>
            <w:r w:rsidR="00605606" w:rsidRPr="0018134B">
              <w:rPr>
                <w:rFonts w:ascii="Times New Roman" w:hAnsi="Times New Roman"/>
                <w:sz w:val="26"/>
                <w:szCs w:val="26"/>
              </w:rPr>
              <w:t>ului</w:t>
            </w:r>
            <w:r w:rsidR="002362E4" w:rsidRPr="0018134B">
              <w:rPr>
                <w:rFonts w:ascii="Times New Roman" w:hAnsi="Times New Roman"/>
                <w:sz w:val="26"/>
                <w:szCs w:val="26"/>
              </w:rPr>
              <w:t xml:space="preserve"> derivă din necesitatea degrevării cadrului legal de actele normative</w:t>
            </w:r>
            <w:r w:rsidR="00605606" w:rsidRPr="0018134B">
              <w:rPr>
                <w:rFonts w:ascii="Times New Roman" w:hAnsi="Times New Roman"/>
                <w:sz w:val="26"/>
                <w:szCs w:val="26"/>
              </w:rPr>
              <w:t xml:space="preserve"> și de politicile guvernamentale desuete</w:t>
            </w:r>
            <w:r w:rsidR="002362E4" w:rsidRPr="0018134B">
              <w:rPr>
                <w:rFonts w:ascii="Times New Roman" w:hAnsi="Times New Roman"/>
                <w:sz w:val="26"/>
                <w:szCs w:val="26"/>
              </w:rPr>
              <w:t>, luând în considerare art. 65 alin. (1) al Legii 100/2017 cu privire la actele normative.</w:t>
            </w:r>
          </w:p>
          <w:p w14:paraId="33870A46" w14:textId="76817579" w:rsidR="00EC3832" w:rsidRPr="0018134B" w:rsidRDefault="002362E4" w:rsidP="001215F9">
            <w:pPr>
              <w:tabs>
                <w:tab w:val="left" w:pos="709"/>
                <w:tab w:val="left" w:pos="884"/>
                <w:tab w:val="left" w:pos="1196"/>
              </w:tabs>
              <w:spacing w:before="160" w:after="120" w:line="240" w:lineRule="auto"/>
              <w:jc w:val="both"/>
              <w:rPr>
                <w:rFonts w:ascii="Times New Roman" w:hAnsi="Times New Roman"/>
                <w:sz w:val="26"/>
                <w:szCs w:val="26"/>
              </w:rPr>
            </w:pPr>
            <w:r w:rsidRPr="0018134B">
              <w:rPr>
                <w:rFonts w:ascii="Times New Roman" w:hAnsi="Times New Roman"/>
                <w:sz w:val="26"/>
                <w:szCs w:val="26"/>
              </w:rPr>
              <w:t xml:space="preserve">În conformitate cu articolul art. 65 alin. (1) al Legii 100/2017 cu privire la actele normative, abrogarea este un procedeu tehnico-juridic de suprimare prin care sunt scoase din vigoare prevederile actului normativ ce nu mai corespund echilibrului dintre </w:t>
            </w:r>
            <w:r w:rsidR="00873DD8" w:rsidRPr="0018134B">
              <w:rPr>
                <w:rFonts w:ascii="Times New Roman" w:hAnsi="Times New Roman"/>
                <w:sz w:val="26"/>
                <w:szCs w:val="26"/>
              </w:rPr>
              <w:t>cerințele</w:t>
            </w:r>
            <w:r w:rsidRPr="0018134B">
              <w:rPr>
                <w:rFonts w:ascii="Times New Roman" w:hAnsi="Times New Roman"/>
                <w:sz w:val="26"/>
                <w:szCs w:val="26"/>
              </w:rPr>
              <w:t xml:space="preserve"> sociale de reglementare legală.</w:t>
            </w:r>
            <w:r w:rsidR="002845E2" w:rsidRPr="0018134B">
              <w:rPr>
                <w:rFonts w:ascii="Times New Roman" w:hAnsi="Times New Roman"/>
                <w:sz w:val="26"/>
                <w:szCs w:val="26"/>
              </w:rPr>
              <w:t xml:space="preserve"> În continuare, </w:t>
            </w:r>
            <w:r w:rsidR="0018134B" w:rsidRPr="0018134B">
              <w:rPr>
                <w:rFonts w:ascii="Times New Roman" w:hAnsi="Times New Roman"/>
                <w:sz w:val="26"/>
                <w:szCs w:val="26"/>
              </w:rPr>
              <w:t xml:space="preserve">alin. </w:t>
            </w:r>
            <w:r w:rsidR="002845E2" w:rsidRPr="0018134B">
              <w:rPr>
                <w:rFonts w:ascii="Times New Roman" w:hAnsi="Times New Roman"/>
                <w:sz w:val="26"/>
                <w:szCs w:val="26"/>
              </w:rPr>
              <w:t xml:space="preserve">(2) al art. 65 al Legii nominalizate stabilește că, abrogarea intervine în următoarele cazuri: a) pentru anularea </w:t>
            </w:r>
            <w:r w:rsidR="00873DD8" w:rsidRPr="0018134B">
              <w:rPr>
                <w:rFonts w:ascii="Times New Roman" w:hAnsi="Times New Roman"/>
                <w:sz w:val="26"/>
                <w:szCs w:val="26"/>
              </w:rPr>
              <w:t>dispozițiilor</w:t>
            </w:r>
            <w:r w:rsidR="002845E2" w:rsidRPr="0018134B">
              <w:rPr>
                <w:rFonts w:ascii="Times New Roman" w:hAnsi="Times New Roman"/>
                <w:sz w:val="26"/>
                <w:szCs w:val="26"/>
              </w:rPr>
              <w:t xml:space="preserve"> dintr-un act normativ care a intrat în conflict cu </w:t>
            </w:r>
            <w:r w:rsidR="00873DD8" w:rsidRPr="0018134B">
              <w:rPr>
                <w:rFonts w:ascii="Times New Roman" w:hAnsi="Times New Roman"/>
                <w:sz w:val="26"/>
                <w:szCs w:val="26"/>
              </w:rPr>
              <w:t>dispozițiile</w:t>
            </w:r>
            <w:r w:rsidR="002845E2" w:rsidRPr="0018134B">
              <w:rPr>
                <w:rFonts w:ascii="Times New Roman" w:hAnsi="Times New Roman"/>
                <w:sz w:val="26"/>
                <w:szCs w:val="26"/>
              </w:rPr>
              <w:t xml:space="preserve"> altui act normativ de </w:t>
            </w:r>
            <w:r w:rsidR="00873DD8" w:rsidRPr="0018134B">
              <w:rPr>
                <w:rFonts w:ascii="Times New Roman" w:hAnsi="Times New Roman"/>
                <w:sz w:val="26"/>
                <w:szCs w:val="26"/>
              </w:rPr>
              <w:t>aceeași</w:t>
            </w:r>
            <w:r w:rsidR="002845E2" w:rsidRPr="0018134B">
              <w:rPr>
                <w:rFonts w:ascii="Times New Roman" w:hAnsi="Times New Roman"/>
                <w:sz w:val="26"/>
                <w:szCs w:val="26"/>
              </w:rPr>
              <w:t xml:space="preserve"> </w:t>
            </w:r>
            <w:r w:rsidR="00873DD8" w:rsidRPr="0018134B">
              <w:rPr>
                <w:rFonts w:ascii="Times New Roman" w:hAnsi="Times New Roman"/>
                <w:sz w:val="26"/>
                <w:szCs w:val="26"/>
              </w:rPr>
              <w:t>forță</w:t>
            </w:r>
            <w:r w:rsidR="002845E2" w:rsidRPr="0018134B">
              <w:rPr>
                <w:rFonts w:ascii="Times New Roman" w:hAnsi="Times New Roman"/>
                <w:sz w:val="26"/>
                <w:szCs w:val="26"/>
              </w:rPr>
              <w:t xml:space="preserve"> juridică sau de o </w:t>
            </w:r>
            <w:r w:rsidR="00873DD8" w:rsidRPr="0018134B">
              <w:rPr>
                <w:rFonts w:ascii="Times New Roman" w:hAnsi="Times New Roman"/>
                <w:sz w:val="26"/>
                <w:szCs w:val="26"/>
              </w:rPr>
              <w:t>forță</w:t>
            </w:r>
            <w:r w:rsidR="002845E2" w:rsidRPr="0018134B">
              <w:rPr>
                <w:rFonts w:ascii="Times New Roman" w:hAnsi="Times New Roman"/>
                <w:sz w:val="26"/>
                <w:szCs w:val="26"/>
              </w:rPr>
              <w:t xml:space="preserve"> juridică superioară; </w:t>
            </w:r>
            <w:r w:rsidR="0025723F" w:rsidRPr="0018134B">
              <w:rPr>
                <w:rFonts w:ascii="Times New Roman" w:hAnsi="Times New Roman"/>
                <w:sz w:val="26"/>
                <w:szCs w:val="26"/>
              </w:rPr>
              <w:t xml:space="preserve">b) pentru înlăturarea </w:t>
            </w:r>
            <w:r w:rsidR="00F02F8A" w:rsidRPr="0018134B">
              <w:rPr>
                <w:rFonts w:ascii="Times New Roman" w:hAnsi="Times New Roman"/>
                <w:sz w:val="26"/>
                <w:szCs w:val="26"/>
              </w:rPr>
              <w:t>discrepanțelor</w:t>
            </w:r>
            <w:r w:rsidR="0025723F" w:rsidRPr="0018134B">
              <w:rPr>
                <w:rFonts w:ascii="Times New Roman" w:hAnsi="Times New Roman"/>
                <w:sz w:val="26"/>
                <w:szCs w:val="26"/>
              </w:rPr>
              <w:t xml:space="preserve"> </w:t>
            </w:r>
            <w:r w:rsidR="00F02F8A" w:rsidRPr="0018134B">
              <w:rPr>
                <w:rFonts w:ascii="Times New Roman" w:hAnsi="Times New Roman"/>
                <w:sz w:val="26"/>
                <w:szCs w:val="26"/>
              </w:rPr>
              <w:t>și</w:t>
            </w:r>
            <w:r w:rsidR="0025723F" w:rsidRPr="0018134B">
              <w:rPr>
                <w:rFonts w:ascii="Times New Roman" w:hAnsi="Times New Roman"/>
                <w:sz w:val="26"/>
                <w:szCs w:val="26"/>
              </w:rPr>
              <w:t xml:space="preserve"> </w:t>
            </w:r>
            <w:r w:rsidR="00F02F8A" w:rsidRPr="0018134B">
              <w:rPr>
                <w:rFonts w:ascii="Times New Roman" w:hAnsi="Times New Roman"/>
                <w:sz w:val="26"/>
                <w:szCs w:val="26"/>
              </w:rPr>
              <w:t>neclarităților</w:t>
            </w:r>
            <w:r w:rsidR="0025723F" w:rsidRPr="0018134B">
              <w:rPr>
                <w:rFonts w:ascii="Times New Roman" w:hAnsi="Times New Roman"/>
                <w:sz w:val="26"/>
                <w:szCs w:val="26"/>
              </w:rPr>
              <w:t xml:space="preserve">; </w:t>
            </w:r>
            <w:r w:rsidR="002845E2" w:rsidRPr="0018134B">
              <w:rPr>
                <w:rFonts w:ascii="Times New Roman" w:hAnsi="Times New Roman"/>
                <w:sz w:val="26"/>
                <w:szCs w:val="26"/>
              </w:rPr>
              <w:t xml:space="preserve">c) pentru degrevarea </w:t>
            </w:r>
            <w:r w:rsidR="00873DD8" w:rsidRPr="0018134B">
              <w:rPr>
                <w:rFonts w:ascii="Times New Roman" w:hAnsi="Times New Roman"/>
                <w:sz w:val="26"/>
                <w:szCs w:val="26"/>
              </w:rPr>
              <w:t>legislației</w:t>
            </w:r>
            <w:r w:rsidR="002845E2" w:rsidRPr="0018134B">
              <w:rPr>
                <w:rFonts w:ascii="Times New Roman" w:hAnsi="Times New Roman"/>
                <w:sz w:val="26"/>
                <w:szCs w:val="26"/>
              </w:rPr>
              <w:t xml:space="preserve"> de normele desuete. </w:t>
            </w:r>
          </w:p>
          <w:p w14:paraId="5EA1FD8A" w14:textId="77777777" w:rsidR="00F066FA" w:rsidRPr="0018134B" w:rsidRDefault="00F066FA" w:rsidP="001215F9">
            <w:pPr>
              <w:tabs>
                <w:tab w:val="left" w:pos="709"/>
                <w:tab w:val="left" w:pos="884"/>
                <w:tab w:val="left" w:pos="1196"/>
              </w:tabs>
              <w:spacing w:before="160" w:after="120" w:line="240" w:lineRule="auto"/>
              <w:jc w:val="both"/>
              <w:rPr>
                <w:rFonts w:ascii="Times New Roman" w:hAnsi="Times New Roman"/>
                <w:sz w:val="26"/>
                <w:szCs w:val="26"/>
              </w:rPr>
            </w:pPr>
            <w:r w:rsidRPr="0018134B">
              <w:rPr>
                <w:rFonts w:ascii="Times New Roman" w:hAnsi="Times New Roman"/>
                <w:sz w:val="26"/>
                <w:szCs w:val="26"/>
              </w:rPr>
              <w:t>În conformitate cu art. 67 alin. (3) al Legii nr. 100/2017, în cadrul activității de sistematizare a legislației pot fi adoptate, aprobate sau emise acte normative de abrogare, având ca obiect exclusiv abrogarea unor acte normative.</w:t>
            </w:r>
          </w:p>
          <w:p w14:paraId="0788765F" w14:textId="6ADBDBC4" w:rsidR="00EC3832" w:rsidRPr="0018134B" w:rsidRDefault="002362E4" w:rsidP="001215F9">
            <w:pPr>
              <w:tabs>
                <w:tab w:val="left" w:pos="709"/>
                <w:tab w:val="left" w:pos="884"/>
                <w:tab w:val="left" w:pos="1196"/>
              </w:tabs>
              <w:spacing w:before="160" w:after="120" w:line="240" w:lineRule="auto"/>
              <w:jc w:val="both"/>
              <w:rPr>
                <w:rFonts w:ascii="Times New Roman" w:hAnsi="Times New Roman"/>
                <w:sz w:val="26"/>
                <w:szCs w:val="26"/>
              </w:rPr>
            </w:pPr>
            <w:r w:rsidRPr="0018134B">
              <w:rPr>
                <w:rFonts w:ascii="Times New Roman" w:hAnsi="Times New Roman"/>
                <w:sz w:val="26"/>
                <w:szCs w:val="26"/>
              </w:rPr>
              <w:t>Astfel</w:t>
            </w:r>
            <w:r w:rsidR="00EC3832" w:rsidRPr="0018134B">
              <w:rPr>
                <w:rFonts w:ascii="Times New Roman" w:hAnsi="Times New Roman"/>
                <w:sz w:val="26"/>
                <w:szCs w:val="26"/>
              </w:rPr>
              <w:t xml:space="preserve">, </w:t>
            </w:r>
            <w:r w:rsidR="003343EE" w:rsidRPr="0018134B">
              <w:rPr>
                <w:rFonts w:ascii="Times New Roman" w:hAnsi="Times New Roman"/>
                <w:sz w:val="26"/>
                <w:szCs w:val="26"/>
              </w:rPr>
              <w:t>în esență, prezentul proiect reprezintă o operațiune tehnică de suprimare</w:t>
            </w:r>
            <w:r w:rsidR="00F066FA" w:rsidRPr="0018134B">
              <w:rPr>
                <w:rFonts w:ascii="Times New Roman" w:hAnsi="Times New Roman"/>
                <w:sz w:val="26"/>
                <w:szCs w:val="26"/>
              </w:rPr>
              <w:t xml:space="preserve"> și </w:t>
            </w:r>
            <w:r w:rsidR="003343EE" w:rsidRPr="0018134B">
              <w:rPr>
                <w:rFonts w:ascii="Times New Roman" w:hAnsi="Times New Roman"/>
                <w:sz w:val="26"/>
                <w:szCs w:val="26"/>
              </w:rPr>
              <w:t>de scoatere</w:t>
            </w:r>
            <w:r w:rsidRPr="0018134B">
              <w:rPr>
                <w:rFonts w:ascii="Times New Roman" w:hAnsi="Times New Roman"/>
                <w:sz w:val="26"/>
                <w:szCs w:val="26"/>
              </w:rPr>
              <w:t xml:space="preserve"> din vigoare a reglementărilor</w:t>
            </w:r>
            <w:r w:rsidR="0038043E" w:rsidRPr="0018134B">
              <w:rPr>
                <w:rFonts w:ascii="Times New Roman" w:hAnsi="Times New Roman"/>
                <w:sz w:val="26"/>
                <w:szCs w:val="26"/>
              </w:rPr>
              <w:t xml:space="preserve"> actelor normative și politicilor guvernamentale </w:t>
            </w:r>
            <w:r w:rsidR="004753D6" w:rsidRPr="0018134B">
              <w:rPr>
                <w:rFonts w:ascii="Times New Roman" w:hAnsi="Times New Roman"/>
                <w:sz w:val="26"/>
                <w:szCs w:val="26"/>
              </w:rPr>
              <w:t>depășite</w:t>
            </w:r>
            <w:r w:rsidR="00334BA6" w:rsidRPr="0018134B">
              <w:rPr>
                <w:rFonts w:ascii="Times New Roman" w:hAnsi="Times New Roman"/>
                <w:sz w:val="26"/>
                <w:szCs w:val="26"/>
              </w:rPr>
              <w:t xml:space="preserve"> de realitățile socia</w:t>
            </w:r>
            <w:r w:rsidR="0038043E" w:rsidRPr="0018134B">
              <w:rPr>
                <w:rFonts w:ascii="Times New Roman" w:hAnsi="Times New Roman"/>
                <w:sz w:val="26"/>
                <w:szCs w:val="26"/>
              </w:rPr>
              <w:t xml:space="preserve">l-economice, care </w:t>
            </w:r>
            <w:r w:rsidR="004753D6" w:rsidRPr="0018134B">
              <w:rPr>
                <w:rFonts w:ascii="Times New Roman" w:hAnsi="Times New Roman"/>
                <w:sz w:val="26"/>
                <w:szCs w:val="26"/>
              </w:rPr>
              <w:t>nu mai corespund</w:t>
            </w:r>
            <w:r w:rsidR="00334BA6" w:rsidRPr="0018134B">
              <w:rPr>
                <w:rFonts w:ascii="Times New Roman" w:hAnsi="Times New Roman"/>
                <w:sz w:val="26"/>
                <w:szCs w:val="26"/>
              </w:rPr>
              <w:t xml:space="preserve"> cerințelor de reglementare legală</w:t>
            </w:r>
            <w:r w:rsidR="004753D6" w:rsidRPr="0018134B">
              <w:rPr>
                <w:rFonts w:ascii="Times New Roman" w:hAnsi="Times New Roman"/>
                <w:sz w:val="26"/>
                <w:szCs w:val="26"/>
              </w:rPr>
              <w:t>, prevederile acestora</w:t>
            </w:r>
            <w:r w:rsidR="00334BA6" w:rsidRPr="0018134B">
              <w:rPr>
                <w:rFonts w:ascii="Times New Roman" w:hAnsi="Times New Roman"/>
                <w:sz w:val="26"/>
                <w:szCs w:val="26"/>
              </w:rPr>
              <w:t xml:space="preserve"> fiind desuete</w:t>
            </w:r>
            <w:r w:rsidR="004753D6" w:rsidRPr="0018134B">
              <w:rPr>
                <w:rFonts w:ascii="Times New Roman" w:hAnsi="Times New Roman"/>
                <w:sz w:val="26"/>
                <w:szCs w:val="26"/>
              </w:rPr>
              <w:t xml:space="preserve">. </w:t>
            </w:r>
          </w:p>
          <w:p w14:paraId="1931C8D2" w14:textId="77777777" w:rsidR="00EC3832" w:rsidRPr="0018134B" w:rsidRDefault="00EC3832" w:rsidP="001215F9">
            <w:pPr>
              <w:tabs>
                <w:tab w:val="left" w:pos="709"/>
                <w:tab w:val="left" w:pos="884"/>
                <w:tab w:val="left" w:pos="1196"/>
              </w:tabs>
              <w:spacing w:before="160" w:after="120" w:line="240" w:lineRule="auto"/>
              <w:jc w:val="both"/>
              <w:rPr>
                <w:rFonts w:ascii="Times New Roman" w:hAnsi="Times New Roman"/>
                <w:b/>
                <w:i/>
                <w:sz w:val="26"/>
                <w:szCs w:val="26"/>
              </w:rPr>
            </w:pPr>
            <w:r w:rsidRPr="0018134B">
              <w:rPr>
                <w:rFonts w:ascii="Times New Roman" w:hAnsi="Times New Roman"/>
                <w:b/>
                <w:i/>
                <w:sz w:val="26"/>
                <w:szCs w:val="26"/>
              </w:rPr>
              <w:t>2.2. Descrierea situației actuale și a problemelor care impun intervenția, inclusiv a cadrului normativ aplicabil și a deficiențelor/lacunelor normative</w:t>
            </w:r>
          </w:p>
          <w:p w14:paraId="530D2BAC" w14:textId="235F1D5E" w:rsidR="00496492" w:rsidRPr="0018134B" w:rsidRDefault="00496492" w:rsidP="001215F9">
            <w:pPr>
              <w:tabs>
                <w:tab w:val="left" w:pos="709"/>
                <w:tab w:val="left" w:pos="884"/>
                <w:tab w:val="left" w:pos="1196"/>
              </w:tabs>
              <w:spacing w:before="100" w:line="240" w:lineRule="auto"/>
              <w:jc w:val="both"/>
              <w:rPr>
                <w:rFonts w:ascii="Times New Roman" w:hAnsi="Times New Roman"/>
                <w:bCs/>
                <w:sz w:val="26"/>
                <w:szCs w:val="26"/>
              </w:rPr>
            </w:pPr>
            <w:r w:rsidRPr="0018134B">
              <w:rPr>
                <w:rFonts w:ascii="Times New Roman" w:hAnsi="Times New Roman"/>
                <w:bCs/>
                <w:sz w:val="26"/>
                <w:szCs w:val="26"/>
              </w:rPr>
              <w:t xml:space="preserve">Legea nr. 108/2016 cu privire la gazele naturale și cadrul normativ subordonat </w:t>
            </w:r>
            <w:r w:rsidR="00CC37BC">
              <w:rPr>
                <w:rFonts w:ascii="Times New Roman" w:hAnsi="Times New Roman"/>
                <w:bCs/>
                <w:sz w:val="26"/>
                <w:szCs w:val="26"/>
              </w:rPr>
              <w:t xml:space="preserve">acesteia </w:t>
            </w:r>
            <w:r w:rsidRPr="0018134B">
              <w:rPr>
                <w:rFonts w:ascii="Times New Roman" w:hAnsi="Times New Roman"/>
                <w:bCs/>
                <w:sz w:val="26"/>
                <w:szCs w:val="26"/>
              </w:rPr>
              <w:t>reglementează exhaustiv sectorul de gaze naturale al Republicii Moldova, fiind în corespundere cu acquis-ul Comunității Energetice (în calitate de parte semnatară a Tratatului de constituire a Comunității Energetice) și a directivelor Uniunii Eu</w:t>
            </w:r>
            <w:r w:rsidR="00CC37BC">
              <w:rPr>
                <w:rFonts w:ascii="Times New Roman" w:hAnsi="Times New Roman"/>
                <w:bCs/>
                <w:sz w:val="26"/>
                <w:szCs w:val="26"/>
              </w:rPr>
              <w:t>ropene aplicabile sectorului respectiv</w:t>
            </w:r>
            <w:r w:rsidRPr="0018134B">
              <w:rPr>
                <w:rFonts w:ascii="Times New Roman" w:hAnsi="Times New Roman"/>
                <w:bCs/>
                <w:sz w:val="26"/>
                <w:szCs w:val="26"/>
              </w:rPr>
              <w:t xml:space="preserve">. </w:t>
            </w:r>
          </w:p>
          <w:p w14:paraId="34698BF8" w14:textId="60C444C9" w:rsidR="00453BCB" w:rsidRDefault="003343EE" w:rsidP="001215F9">
            <w:pPr>
              <w:tabs>
                <w:tab w:val="left" w:pos="709"/>
                <w:tab w:val="left" w:pos="884"/>
                <w:tab w:val="left" w:pos="1196"/>
              </w:tabs>
              <w:spacing w:before="100" w:line="240" w:lineRule="auto"/>
              <w:jc w:val="both"/>
              <w:rPr>
                <w:rFonts w:ascii="Times New Roman" w:hAnsi="Times New Roman"/>
                <w:bCs/>
                <w:sz w:val="26"/>
                <w:szCs w:val="26"/>
              </w:rPr>
            </w:pPr>
            <w:r w:rsidRPr="0018134B">
              <w:rPr>
                <w:rFonts w:ascii="Times New Roman" w:hAnsi="Times New Roman"/>
                <w:bCs/>
                <w:sz w:val="26"/>
                <w:szCs w:val="26"/>
              </w:rPr>
              <w:t xml:space="preserve">Actele normative și politicile Guvernului care </w:t>
            </w:r>
            <w:r w:rsidR="00CC37BC">
              <w:rPr>
                <w:rFonts w:ascii="Times New Roman" w:hAnsi="Times New Roman"/>
                <w:bCs/>
                <w:sz w:val="26"/>
                <w:szCs w:val="26"/>
              </w:rPr>
              <w:t xml:space="preserve">constituie </w:t>
            </w:r>
            <w:r w:rsidRPr="0018134B">
              <w:rPr>
                <w:rFonts w:ascii="Times New Roman" w:hAnsi="Times New Roman"/>
                <w:bCs/>
                <w:sz w:val="26"/>
                <w:szCs w:val="26"/>
              </w:rPr>
              <w:t>obiectul prezentului proiect, nu sunt prevăzute de Legea nr. 108/2016</w:t>
            </w:r>
            <w:r w:rsidR="00CC37BC">
              <w:rPr>
                <w:rFonts w:ascii="Times New Roman" w:hAnsi="Times New Roman"/>
                <w:bCs/>
                <w:sz w:val="26"/>
                <w:szCs w:val="26"/>
              </w:rPr>
              <w:t xml:space="preserve">, care reprezintă o </w:t>
            </w:r>
            <w:r w:rsidR="00CC37BC" w:rsidRPr="00CC37BC">
              <w:rPr>
                <w:rFonts w:ascii="Times New Roman" w:hAnsi="Times New Roman"/>
                <w:bCs/>
                <w:i/>
                <w:sz w:val="26"/>
                <w:szCs w:val="26"/>
              </w:rPr>
              <w:t>lege specială</w:t>
            </w:r>
            <w:r w:rsidR="00CC37BC">
              <w:rPr>
                <w:rFonts w:ascii="Times New Roman" w:hAnsi="Times New Roman"/>
                <w:bCs/>
                <w:sz w:val="26"/>
                <w:szCs w:val="26"/>
              </w:rPr>
              <w:t xml:space="preserve"> pentru sectorul gazelor naturale. Respectivele acte normative și politici guvernamentale au drept temei juridic prevederi lege</w:t>
            </w:r>
            <w:r w:rsidRPr="0018134B">
              <w:rPr>
                <w:rFonts w:ascii="Times New Roman" w:hAnsi="Times New Roman"/>
                <w:bCs/>
                <w:sz w:val="26"/>
                <w:szCs w:val="26"/>
              </w:rPr>
              <w:t xml:space="preserve"> și </w:t>
            </w:r>
            <w:r w:rsidR="00CC37BC">
              <w:rPr>
                <w:rFonts w:ascii="Times New Roman" w:hAnsi="Times New Roman"/>
                <w:bCs/>
                <w:sz w:val="26"/>
                <w:szCs w:val="26"/>
              </w:rPr>
              <w:t xml:space="preserve">documente de </w:t>
            </w:r>
            <w:r w:rsidRPr="0018134B">
              <w:rPr>
                <w:rFonts w:ascii="Times New Roman" w:hAnsi="Times New Roman"/>
                <w:bCs/>
                <w:sz w:val="26"/>
                <w:szCs w:val="26"/>
              </w:rPr>
              <w:t>politici</w:t>
            </w:r>
            <w:r w:rsidR="00CC37BC">
              <w:rPr>
                <w:rFonts w:ascii="Times New Roman" w:hAnsi="Times New Roman"/>
                <w:bCs/>
                <w:sz w:val="26"/>
                <w:szCs w:val="26"/>
              </w:rPr>
              <w:t xml:space="preserve"> </w:t>
            </w:r>
            <w:r w:rsidRPr="0018134B">
              <w:rPr>
                <w:rFonts w:ascii="Times New Roman" w:hAnsi="Times New Roman"/>
                <w:bCs/>
                <w:sz w:val="26"/>
                <w:szCs w:val="26"/>
              </w:rPr>
              <w:t>care au</w:t>
            </w:r>
            <w:r w:rsidR="00CC37BC">
              <w:rPr>
                <w:rFonts w:ascii="Times New Roman" w:hAnsi="Times New Roman"/>
                <w:bCs/>
                <w:sz w:val="26"/>
                <w:szCs w:val="26"/>
              </w:rPr>
              <w:t xml:space="preserve"> devenit inaplicabile </w:t>
            </w:r>
            <w:r w:rsidRPr="0018134B">
              <w:rPr>
                <w:rFonts w:ascii="Times New Roman" w:hAnsi="Times New Roman"/>
                <w:bCs/>
                <w:sz w:val="26"/>
                <w:szCs w:val="26"/>
              </w:rPr>
              <w:t>în virtutea</w:t>
            </w:r>
            <w:r w:rsidR="00CC37BC">
              <w:rPr>
                <w:rFonts w:ascii="Times New Roman" w:hAnsi="Times New Roman"/>
                <w:bCs/>
                <w:sz w:val="26"/>
                <w:szCs w:val="26"/>
              </w:rPr>
              <w:t xml:space="preserve"> adoptării unor noi</w:t>
            </w:r>
            <w:r w:rsidRPr="0018134B">
              <w:rPr>
                <w:rFonts w:ascii="Times New Roman" w:hAnsi="Times New Roman"/>
                <w:bCs/>
                <w:sz w:val="26"/>
                <w:szCs w:val="26"/>
              </w:rPr>
              <w:t xml:space="preserve"> reglementări </w:t>
            </w:r>
            <w:r w:rsidR="0012371A">
              <w:rPr>
                <w:rFonts w:ascii="Times New Roman" w:hAnsi="Times New Roman"/>
                <w:bCs/>
                <w:sz w:val="26"/>
                <w:szCs w:val="26"/>
              </w:rPr>
              <w:t>legislative</w:t>
            </w:r>
            <w:r w:rsidR="00CC37BC">
              <w:rPr>
                <w:rFonts w:ascii="Times New Roman" w:hAnsi="Times New Roman"/>
                <w:bCs/>
                <w:sz w:val="26"/>
                <w:szCs w:val="26"/>
              </w:rPr>
              <w:t xml:space="preserve"> </w:t>
            </w:r>
            <w:r w:rsidRPr="0018134B">
              <w:rPr>
                <w:rFonts w:ascii="Times New Roman" w:hAnsi="Times New Roman"/>
                <w:bCs/>
                <w:sz w:val="26"/>
                <w:szCs w:val="26"/>
              </w:rPr>
              <w:t xml:space="preserve">care </w:t>
            </w:r>
            <w:r w:rsidR="00CC37BC">
              <w:rPr>
                <w:rFonts w:ascii="Times New Roman" w:hAnsi="Times New Roman"/>
                <w:bCs/>
                <w:sz w:val="26"/>
                <w:szCs w:val="26"/>
              </w:rPr>
              <w:t xml:space="preserve">le </w:t>
            </w:r>
            <w:r w:rsidRPr="0018134B">
              <w:rPr>
                <w:rFonts w:ascii="Times New Roman" w:hAnsi="Times New Roman"/>
                <w:bCs/>
                <w:sz w:val="26"/>
                <w:szCs w:val="26"/>
              </w:rPr>
              <w:t>suprimă</w:t>
            </w:r>
            <w:r w:rsidR="00CC37BC">
              <w:rPr>
                <w:rFonts w:ascii="Times New Roman" w:hAnsi="Times New Roman"/>
                <w:bCs/>
                <w:sz w:val="26"/>
                <w:szCs w:val="26"/>
              </w:rPr>
              <w:t xml:space="preserve"> integral</w:t>
            </w:r>
            <w:r w:rsidR="0012371A">
              <w:rPr>
                <w:rFonts w:ascii="Times New Roman" w:hAnsi="Times New Roman"/>
                <w:bCs/>
                <w:sz w:val="26"/>
                <w:szCs w:val="26"/>
              </w:rPr>
              <w:t>, inclusiv ca esență și abordare</w:t>
            </w:r>
            <w:r w:rsidRPr="0018134B">
              <w:rPr>
                <w:rFonts w:ascii="Times New Roman" w:hAnsi="Times New Roman"/>
                <w:bCs/>
                <w:sz w:val="26"/>
                <w:szCs w:val="26"/>
              </w:rPr>
              <w:t>.</w:t>
            </w:r>
            <w:r w:rsidR="00476687" w:rsidRPr="0018134B">
              <w:rPr>
                <w:rFonts w:ascii="Times New Roman" w:hAnsi="Times New Roman"/>
                <w:bCs/>
                <w:sz w:val="26"/>
                <w:szCs w:val="26"/>
              </w:rPr>
              <w:t xml:space="preserve"> </w:t>
            </w:r>
          </w:p>
          <w:p w14:paraId="73056686" w14:textId="5004E148" w:rsidR="0012371A" w:rsidRPr="00453BCB" w:rsidRDefault="00453BCB" w:rsidP="001215F9">
            <w:pPr>
              <w:tabs>
                <w:tab w:val="left" w:pos="709"/>
                <w:tab w:val="left" w:pos="884"/>
                <w:tab w:val="left" w:pos="1196"/>
              </w:tabs>
              <w:spacing w:before="100" w:line="240" w:lineRule="auto"/>
              <w:jc w:val="both"/>
              <w:rPr>
                <w:rFonts w:ascii="Times New Roman" w:hAnsi="Times New Roman"/>
                <w:bCs/>
                <w:sz w:val="26"/>
                <w:szCs w:val="26"/>
              </w:rPr>
            </w:pPr>
            <w:r w:rsidRPr="00453BCB">
              <w:rPr>
                <w:rFonts w:ascii="Times New Roman" w:hAnsi="Times New Roman"/>
                <w:bCs/>
                <w:iCs/>
                <w:sz w:val="26"/>
                <w:szCs w:val="26"/>
              </w:rPr>
              <w:t>În conformitate cu art. 14 al Legii nr. 100/2017 cu privire la actele normative: „</w:t>
            </w:r>
            <w:r w:rsidRPr="00453BCB">
              <w:rPr>
                <w:rFonts w:ascii="Times New Roman" w:hAnsi="Times New Roman"/>
                <w:bCs/>
                <w:i/>
                <w:sz w:val="26"/>
                <w:szCs w:val="26"/>
              </w:rPr>
              <w:t xml:space="preserve">Hotărârea Guvernului este un act care se adoptă de către Guvern </w:t>
            </w:r>
            <w:r w:rsidRPr="00453BCB">
              <w:rPr>
                <w:rFonts w:ascii="Times New Roman" w:hAnsi="Times New Roman"/>
                <w:b/>
                <w:bCs/>
                <w:i/>
                <w:sz w:val="26"/>
                <w:szCs w:val="26"/>
              </w:rPr>
              <w:t xml:space="preserve">pentru organizarea executării </w:t>
            </w:r>
            <w:r w:rsidRPr="00453BCB">
              <w:rPr>
                <w:rFonts w:ascii="Times New Roman" w:hAnsi="Times New Roman"/>
                <w:b/>
                <w:bCs/>
                <w:i/>
                <w:sz w:val="26"/>
                <w:szCs w:val="26"/>
              </w:rPr>
              <w:lastRenderedPageBreak/>
              <w:t>legilor</w:t>
            </w:r>
            <w:r w:rsidRPr="00453BCB">
              <w:rPr>
                <w:rFonts w:ascii="Times New Roman" w:hAnsi="Times New Roman"/>
                <w:bCs/>
                <w:i/>
                <w:sz w:val="26"/>
                <w:szCs w:val="26"/>
              </w:rPr>
              <w:t>”.</w:t>
            </w:r>
            <w:r w:rsidRPr="00453BCB">
              <w:rPr>
                <w:rFonts w:ascii="Times New Roman" w:hAnsi="Times New Roman"/>
                <w:bCs/>
                <w:iCs/>
                <w:sz w:val="26"/>
                <w:szCs w:val="26"/>
              </w:rPr>
              <w:t xml:space="preserve"> Prevedere similară se regăsește și la art. 37 alin. (1) al Legii nr. 136/2017 cu privire la Guvern, potrivit căruia: „</w:t>
            </w:r>
            <w:r w:rsidRPr="00453BCB">
              <w:rPr>
                <w:rFonts w:ascii="Times New Roman" w:hAnsi="Times New Roman"/>
                <w:bCs/>
                <w:i/>
                <w:sz w:val="26"/>
                <w:szCs w:val="26"/>
              </w:rPr>
              <w:t>Hotărârile se adoptă</w:t>
            </w:r>
            <w:r w:rsidRPr="00453BCB">
              <w:rPr>
                <w:rFonts w:ascii="Times New Roman" w:hAnsi="Times New Roman"/>
                <w:bCs/>
                <w:iCs/>
                <w:sz w:val="26"/>
                <w:szCs w:val="26"/>
              </w:rPr>
              <w:t xml:space="preserve"> </w:t>
            </w:r>
            <w:r w:rsidRPr="00453BCB">
              <w:rPr>
                <w:rFonts w:ascii="Times New Roman" w:hAnsi="Times New Roman"/>
                <w:bCs/>
                <w:i/>
                <w:sz w:val="26"/>
                <w:szCs w:val="26"/>
              </w:rPr>
              <w:t>pentru organizarea executării legilor”</w:t>
            </w:r>
            <w:r w:rsidRPr="00453BCB">
              <w:rPr>
                <w:rFonts w:ascii="Times New Roman" w:hAnsi="Times New Roman"/>
                <w:bCs/>
                <w:iCs/>
                <w:sz w:val="26"/>
                <w:szCs w:val="26"/>
              </w:rPr>
              <w:t xml:space="preserve">. Prin urmare, </w:t>
            </w:r>
            <w:r>
              <w:rPr>
                <w:rFonts w:ascii="Times New Roman" w:hAnsi="Times New Roman"/>
                <w:bCs/>
                <w:iCs/>
                <w:sz w:val="26"/>
                <w:szCs w:val="26"/>
              </w:rPr>
              <w:t xml:space="preserve">abrogarea </w:t>
            </w:r>
            <w:r w:rsidRPr="00453BCB">
              <w:rPr>
                <w:rFonts w:ascii="Times New Roman" w:hAnsi="Times New Roman"/>
                <w:bCs/>
                <w:iCs/>
                <w:sz w:val="26"/>
                <w:szCs w:val="26"/>
              </w:rPr>
              <w:t>cadrului legislativ</w:t>
            </w:r>
            <w:r>
              <w:rPr>
                <w:rFonts w:ascii="Times New Roman" w:hAnsi="Times New Roman"/>
                <w:bCs/>
                <w:iCs/>
                <w:sz w:val="26"/>
                <w:szCs w:val="26"/>
              </w:rPr>
              <w:t xml:space="preserve"> primar pentru </w:t>
            </w:r>
            <w:r w:rsidR="00F0117A">
              <w:rPr>
                <w:rFonts w:ascii="Times New Roman" w:hAnsi="Times New Roman"/>
                <w:bCs/>
                <w:iCs/>
                <w:sz w:val="26"/>
                <w:szCs w:val="26"/>
              </w:rPr>
              <w:t>implementarea căruia</w:t>
            </w:r>
            <w:r>
              <w:rPr>
                <w:rFonts w:ascii="Times New Roman" w:hAnsi="Times New Roman"/>
                <w:bCs/>
                <w:iCs/>
                <w:sz w:val="26"/>
                <w:szCs w:val="26"/>
              </w:rPr>
              <w:t xml:space="preserve"> au fost adoptate hotărârile de Guvern obiect al prezentului proiect</w:t>
            </w:r>
            <w:r w:rsidR="00F0117A">
              <w:rPr>
                <w:rFonts w:ascii="Times New Roman" w:hAnsi="Times New Roman"/>
                <w:bCs/>
                <w:iCs/>
                <w:sz w:val="26"/>
                <w:szCs w:val="26"/>
              </w:rPr>
              <w:t xml:space="preserve">, determină drept consecință desuetudinea acestora din urmă și, de asemenea, impune intervenția abrogării. </w:t>
            </w:r>
          </w:p>
          <w:p w14:paraId="6EC29BAF" w14:textId="3E529FF0" w:rsidR="002B3F53" w:rsidRPr="0012371A" w:rsidRDefault="00F0117A" w:rsidP="001215F9">
            <w:pPr>
              <w:tabs>
                <w:tab w:val="left" w:pos="709"/>
                <w:tab w:val="left" w:pos="884"/>
                <w:tab w:val="left" w:pos="1196"/>
              </w:tabs>
              <w:spacing w:before="100" w:line="240" w:lineRule="auto"/>
              <w:jc w:val="both"/>
              <w:rPr>
                <w:rFonts w:ascii="Times New Roman" w:hAnsi="Times New Roman"/>
                <w:bCs/>
                <w:sz w:val="26"/>
                <w:szCs w:val="26"/>
              </w:rPr>
            </w:pPr>
            <w:r>
              <w:rPr>
                <w:rFonts w:ascii="Times New Roman" w:hAnsi="Times New Roman"/>
                <w:bCs/>
                <w:sz w:val="26"/>
                <w:szCs w:val="26"/>
              </w:rPr>
              <w:t>În prezent</w:t>
            </w:r>
            <w:r w:rsidR="003343EE" w:rsidRPr="0018134B">
              <w:rPr>
                <w:rFonts w:ascii="Times New Roman" w:hAnsi="Times New Roman"/>
                <w:bCs/>
                <w:sz w:val="26"/>
                <w:szCs w:val="26"/>
              </w:rPr>
              <w:t xml:space="preserve">, </w:t>
            </w:r>
            <w:r w:rsidR="00476687" w:rsidRPr="0018134B">
              <w:rPr>
                <w:rFonts w:ascii="Times New Roman" w:hAnsi="Times New Roman"/>
                <w:bCs/>
                <w:sz w:val="26"/>
                <w:szCs w:val="26"/>
              </w:rPr>
              <w:t>hotărârile de Guvern propuse abrogării p</w:t>
            </w:r>
            <w:r>
              <w:rPr>
                <w:rFonts w:ascii="Times New Roman" w:hAnsi="Times New Roman"/>
                <w:bCs/>
                <w:sz w:val="26"/>
                <w:szCs w:val="26"/>
              </w:rPr>
              <w:t>rin prezentul proiect, formează</w:t>
            </w:r>
            <w:r w:rsidR="00476687" w:rsidRPr="0018134B">
              <w:rPr>
                <w:rFonts w:ascii="Times New Roman" w:hAnsi="Times New Roman"/>
                <w:bCs/>
                <w:sz w:val="26"/>
                <w:szCs w:val="26"/>
              </w:rPr>
              <w:t xml:space="preserve"> p</w:t>
            </w:r>
            <w:r w:rsidR="00496492" w:rsidRPr="0018134B">
              <w:rPr>
                <w:rFonts w:ascii="Times New Roman" w:hAnsi="Times New Roman"/>
                <w:bCs/>
                <w:sz w:val="26"/>
                <w:szCs w:val="26"/>
              </w:rPr>
              <w:t>aralelisme</w:t>
            </w:r>
            <w:r w:rsidR="005A219B" w:rsidRPr="0018134B">
              <w:rPr>
                <w:rFonts w:ascii="Times New Roman" w:hAnsi="Times New Roman"/>
                <w:bCs/>
                <w:sz w:val="26"/>
                <w:szCs w:val="26"/>
              </w:rPr>
              <w:t xml:space="preserve"> normative,</w:t>
            </w:r>
            <w:r w:rsidR="00476687" w:rsidRPr="0018134B">
              <w:rPr>
                <w:rFonts w:ascii="Times New Roman" w:hAnsi="Times New Roman"/>
                <w:bCs/>
                <w:sz w:val="26"/>
                <w:szCs w:val="26"/>
              </w:rPr>
              <w:t xml:space="preserve"> care</w:t>
            </w:r>
            <w:r w:rsidR="00496492" w:rsidRPr="0018134B">
              <w:rPr>
                <w:rFonts w:ascii="Times New Roman" w:hAnsi="Times New Roman"/>
                <w:bCs/>
                <w:sz w:val="26"/>
                <w:szCs w:val="26"/>
              </w:rPr>
              <w:t xml:space="preserve"> contravin procedurilor și exigențelor </w:t>
            </w:r>
            <w:r w:rsidR="0012371A">
              <w:rPr>
                <w:rFonts w:ascii="Times New Roman" w:hAnsi="Times New Roman"/>
                <w:bCs/>
                <w:sz w:val="26"/>
                <w:szCs w:val="26"/>
              </w:rPr>
              <w:t>Legii</w:t>
            </w:r>
            <w:r w:rsidR="002B3F53" w:rsidRPr="0018134B">
              <w:rPr>
                <w:rFonts w:ascii="Times New Roman" w:hAnsi="Times New Roman"/>
                <w:bCs/>
                <w:sz w:val="26"/>
                <w:szCs w:val="26"/>
              </w:rPr>
              <w:t xml:space="preserve"> nr. 108/2016, </w:t>
            </w:r>
            <w:r w:rsidR="0012371A">
              <w:rPr>
                <w:rFonts w:ascii="Times New Roman" w:hAnsi="Times New Roman"/>
                <w:bCs/>
                <w:sz w:val="26"/>
                <w:szCs w:val="26"/>
              </w:rPr>
              <w:t>actelor</w:t>
            </w:r>
            <w:r w:rsidR="002B3F53" w:rsidRPr="0018134B">
              <w:rPr>
                <w:rFonts w:ascii="Times New Roman" w:hAnsi="Times New Roman"/>
                <w:bCs/>
                <w:sz w:val="26"/>
                <w:szCs w:val="26"/>
              </w:rPr>
              <w:t xml:space="preserve"> normative de reglementare subordonate acesteia, Codul</w:t>
            </w:r>
            <w:r w:rsidR="0012371A">
              <w:rPr>
                <w:rFonts w:ascii="Times New Roman" w:hAnsi="Times New Roman"/>
                <w:bCs/>
                <w:sz w:val="26"/>
                <w:szCs w:val="26"/>
              </w:rPr>
              <w:t>ui</w:t>
            </w:r>
            <w:r w:rsidR="002B3F53" w:rsidRPr="0018134B">
              <w:rPr>
                <w:rFonts w:ascii="Times New Roman" w:hAnsi="Times New Roman"/>
                <w:bCs/>
                <w:sz w:val="26"/>
                <w:szCs w:val="26"/>
              </w:rPr>
              <w:t xml:space="preserve"> </w:t>
            </w:r>
            <w:r w:rsidR="002B3F53" w:rsidRPr="0018134B">
              <w:rPr>
                <w:rFonts w:ascii="Times New Roman" w:hAnsi="Times New Roman"/>
                <w:sz w:val="26"/>
                <w:szCs w:val="26"/>
              </w:rPr>
              <w:t xml:space="preserve">urbanismului și construcțiilor nr. 434/2023 și </w:t>
            </w:r>
            <w:r w:rsidR="0012371A">
              <w:rPr>
                <w:rFonts w:ascii="Times New Roman" w:hAnsi="Times New Roman"/>
                <w:sz w:val="26"/>
                <w:szCs w:val="26"/>
              </w:rPr>
              <w:t>Legii</w:t>
            </w:r>
            <w:r w:rsidR="002B3F53" w:rsidRPr="0018134B">
              <w:rPr>
                <w:rFonts w:ascii="Times New Roman" w:hAnsi="Times New Roman"/>
                <w:sz w:val="26"/>
                <w:szCs w:val="26"/>
              </w:rPr>
              <w:t xml:space="preserve"> nr. 151/2022 privind </w:t>
            </w:r>
            <w:r w:rsidR="00772F84" w:rsidRPr="0018134B">
              <w:rPr>
                <w:rFonts w:ascii="Times New Roman" w:hAnsi="Times New Roman"/>
                <w:sz w:val="26"/>
                <w:szCs w:val="26"/>
              </w:rPr>
              <w:t>funcționarea</w:t>
            </w:r>
            <w:r w:rsidR="002B3F53" w:rsidRPr="0018134B">
              <w:rPr>
                <w:rFonts w:ascii="Times New Roman" w:hAnsi="Times New Roman"/>
                <w:sz w:val="26"/>
                <w:szCs w:val="26"/>
              </w:rPr>
              <w:t xml:space="preserve"> în </w:t>
            </w:r>
            <w:r w:rsidR="00772F84" w:rsidRPr="0018134B">
              <w:rPr>
                <w:rFonts w:ascii="Times New Roman" w:hAnsi="Times New Roman"/>
                <w:sz w:val="26"/>
                <w:szCs w:val="26"/>
              </w:rPr>
              <w:t>condiții</w:t>
            </w:r>
            <w:r w:rsidR="002B3F53" w:rsidRPr="0018134B">
              <w:rPr>
                <w:rFonts w:ascii="Times New Roman" w:hAnsi="Times New Roman"/>
                <w:sz w:val="26"/>
                <w:szCs w:val="26"/>
              </w:rPr>
              <w:t xml:space="preserve"> de </w:t>
            </w:r>
            <w:r w:rsidR="00772F84" w:rsidRPr="0018134B">
              <w:rPr>
                <w:rFonts w:ascii="Times New Roman" w:hAnsi="Times New Roman"/>
                <w:sz w:val="26"/>
                <w:szCs w:val="26"/>
              </w:rPr>
              <w:t>siguranță</w:t>
            </w:r>
            <w:r w:rsidR="002B3F53" w:rsidRPr="0018134B">
              <w:rPr>
                <w:rFonts w:ascii="Times New Roman" w:hAnsi="Times New Roman"/>
                <w:sz w:val="26"/>
                <w:szCs w:val="26"/>
              </w:rPr>
              <w:t xml:space="preserve"> a obiectivelor industriale </w:t>
            </w:r>
            <w:r w:rsidR="00772F84" w:rsidRPr="0018134B">
              <w:rPr>
                <w:rFonts w:ascii="Times New Roman" w:hAnsi="Times New Roman"/>
                <w:sz w:val="26"/>
                <w:szCs w:val="26"/>
              </w:rPr>
              <w:t>și</w:t>
            </w:r>
            <w:r w:rsidR="002B3F53" w:rsidRPr="0018134B">
              <w:rPr>
                <w:rFonts w:ascii="Times New Roman" w:hAnsi="Times New Roman"/>
                <w:sz w:val="26"/>
                <w:szCs w:val="26"/>
              </w:rPr>
              <w:t xml:space="preserve"> a </w:t>
            </w:r>
            <w:r w:rsidR="00772F84" w:rsidRPr="0018134B">
              <w:rPr>
                <w:rFonts w:ascii="Times New Roman" w:hAnsi="Times New Roman"/>
                <w:sz w:val="26"/>
                <w:szCs w:val="26"/>
              </w:rPr>
              <w:t>instalațiilor</w:t>
            </w:r>
            <w:r w:rsidR="002B3F53" w:rsidRPr="0018134B">
              <w:rPr>
                <w:rFonts w:ascii="Times New Roman" w:hAnsi="Times New Roman"/>
                <w:sz w:val="26"/>
                <w:szCs w:val="26"/>
              </w:rPr>
              <w:t xml:space="preserve"> tehnice </w:t>
            </w:r>
            <w:r w:rsidR="00772F84" w:rsidRPr="0018134B">
              <w:rPr>
                <w:rFonts w:ascii="Times New Roman" w:hAnsi="Times New Roman"/>
                <w:sz w:val="26"/>
                <w:szCs w:val="26"/>
              </w:rPr>
              <w:t>potențial</w:t>
            </w:r>
            <w:r w:rsidR="002B3F53" w:rsidRPr="0018134B">
              <w:rPr>
                <w:rFonts w:ascii="Times New Roman" w:hAnsi="Times New Roman"/>
                <w:sz w:val="26"/>
                <w:szCs w:val="26"/>
              </w:rPr>
              <w:t xml:space="preserve"> periculoase. </w:t>
            </w:r>
            <w:r w:rsidR="004C30AE">
              <w:rPr>
                <w:rFonts w:ascii="Times New Roman" w:hAnsi="Times New Roman"/>
                <w:sz w:val="26"/>
                <w:szCs w:val="26"/>
              </w:rPr>
              <w:t xml:space="preserve">Or, </w:t>
            </w:r>
            <w:r w:rsidR="004C30AE" w:rsidRPr="004C30AE">
              <w:rPr>
                <w:rFonts w:ascii="Times New Roman" w:hAnsi="Times New Roman"/>
                <w:bCs/>
                <w:sz w:val="26"/>
                <w:szCs w:val="26"/>
              </w:rPr>
              <w:t xml:space="preserve">Legea nr. 108/2016 cu privire la și cadrul normativ subordonat </w:t>
            </w:r>
            <w:r w:rsidR="004C30AE">
              <w:rPr>
                <w:rFonts w:ascii="Times New Roman" w:hAnsi="Times New Roman"/>
                <w:bCs/>
                <w:sz w:val="26"/>
                <w:szCs w:val="26"/>
              </w:rPr>
              <w:t>acesteia</w:t>
            </w:r>
            <w:r w:rsidR="004C30AE" w:rsidRPr="004C30AE">
              <w:rPr>
                <w:rFonts w:ascii="Times New Roman" w:hAnsi="Times New Roman"/>
                <w:bCs/>
                <w:sz w:val="26"/>
                <w:szCs w:val="26"/>
              </w:rPr>
              <w:t xml:space="preserve"> reglementează exhaustiv domeniu</w:t>
            </w:r>
            <w:r w:rsidR="004C30AE">
              <w:rPr>
                <w:rFonts w:ascii="Times New Roman" w:hAnsi="Times New Roman"/>
                <w:bCs/>
                <w:sz w:val="26"/>
                <w:szCs w:val="26"/>
              </w:rPr>
              <w:t>l gazelor naturale</w:t>
            </w:r>
            <w:r w:rsidR="004C30AE" w:rsidRPr="004C30AE">
              <w:rPr>
                <w:rFonts w:ascii="Times New Roman" w:hAnsi="Times New Roman"/>
                <w:bCs/>
                <w:sz w:val="26"/>
                <w:szCs w:val="26"/>
              </w:rPr>
              <w:t xml:space="preserve">, respectiv paralelismele de acte normative care contravin </w:t>
            </w:r>
            <w:r w:rsidR="004C30AE">
              <w:rPr>
                <w:rFonts w:ascii="Times New Roman" w:hAnsi="Times New Roman"/>
                <w:bCs/>
                <w:sz w:val="26"/>
                <w:szCs w:val="26"/>
              </w:rPr>
              <w:t xml:space="preserve">acestora </w:t>
            </w:r>
            <w:r w:rsidR="004C30AE" w:rsidRPr="004C30AE">
              <w:rPr>
                <w:rFonts w:ascii="Times New Roman" w:hAnsi="Times New Roman"/>
                <w:bCs/>
                <w:sz w:val="26"/>
                <w:szCs w:val="26"/>
              </w:rPr>
              <w:t xml:space="preserve">devin inaplicabile și urmează a fi scoase din vigoare.   </w:t>
            </w:r>
          </w:p>
          <w:p w14:paraId="0157C71D" w14:textId="6D454D26" w:rsidR="00A47C33" w:rsidRPr="0018134B" w:rsidRDefault="003C6BF8" w:rsidP="001215F9">
            <w:pPr>
              <w:tabs>
                <w:tab w:val="left" w:pos="709"/>
                <w:tab w:val="left" w:pos="884"/>
                <w:tab w:val="left" w:pos="1196"/>
              </w:tabs>
              <w:spacing w:before="100" w:line="240" w:lineRule="auto"/>
              <w:jc w:val="both"/>
              <w:rPr>
                <w:rFonts w:ascii="Times New Roman" w:hAnsi="Times New Roman"/>
                <w:bCs/>
                <w:sz w:val="26"/>
                <w:szCs w:val="26"/>
              </w:rPr>
            </w:pPr>
            <w:r>
              <w:rPr>
                <w:rFonts w:ascii="Times New Roman" w:hAnsi="Times New Roman"/>
                <w:sz w:val="26"/>
                <w:szCs w:val="26"/>
              </w:rPr>
              <w:t>Din aceste considerente, prin prezentul proiectul se propune abrogarea</w:t>
            </w:r>
            <w:r w:rsidR="002B3F53" w:rsidRPr="0018134B">
              <w:rPr>
                <w:rFonts w:ascii="Times New Roman" w:hAnsi="Times New Roman"/>
                <w:sz w:val="26"/>
                <w:szCs w:val="26"/>
              </w:rPr>
              <w:t xml:space="preserve"> </w:t>
            </w:r>
            <w:r>
              <w:rPr>
                <w:rFonts w:ascii="Times New Roman" w:hAnsi="Times New Roman"/>
                <w:bCs/>
                <w:sz w:val="26"/>
                <w:szCs w:val="26"/>
              </w:rPr>
              <w:t>următoarelor Hotărâri de Guvern</w:t>
            </w:r>
            <w:r w:rsidR="00A47C33" w:rsidRPr="0018134B">
              <w:rPr>
                <w:rFonts w:ascii="Times New Roman" w:hAnsi="Times New Roman"/>
                <w:sz w:val="26"/>
                <w:szCs w:val="26"/>
              </w:rPr>
              <w:t>:</w:t>
            </w:r>
          </w:p>
          <w:p w14:paraId="4ACB8710" w14:textId="46247D3D" w:rsidR="002657EE" w:rsidRPr="0018134B" w:rsidRDefault="002657EE" w:rsidP="001215F9">
            <w:pPr>
              <w:pStyle w:val="ListParagraph"/>
              <w:numPr>
                <w:ilvl w:val="0"/>
                <w:numId w:val="16"/>
              </w:numPr>
              <w:tabs>
                <w:tab w:val="left" w:pos="709"/>
                <w:tab w:val="left" w:pos="884"/>
                <w:tab w:val="left" w:pos="1196"/>
              </w:tabs>
              <w:spacing w:before="100" w:line="240" w:lineRule="auto"/>
              <w:jc w:val="both"/>
              <w:rPr>
                <w:rFonts w:ascii="Times New Roman" w:hAnsi="Times New Roman"/>
                <w:sz w:val="26"/>
                <w:szCs w:val="26"/>
              </w:rPr>
            </w:pPr>
            <w:r w:rsidRPr="0018134B">
              <w:rPr>
                <w:rFonts w:ascii="Times New Roman" w:hAnsi="Times New Roman"/>
                <w:b/>
                <w:sz w:val="26"/>
                <w:szCs w:val="26"/>
              </w:rPr>
              <w:t>Programului național de gazificare al Republicii Moldova, aprobat prin Hotărârea Guvernului nr.</w:t>
            </w:r>
            <w:r w:rsidR="00C155DD">
              <w:rPr>
                <w:rFonts w:ascii="Times New Roman" w:hAnsi="Times New Roman"/>
                <w:b/>
                <w:sz w:val="26"/>
                <w:szCs w:val="26"/>
              </w:rPr>
              <w:t xml:space="preserve"> </w:t>
            </w:r>
            <w:r w:rsidRPr="0018134B">
              <w:rPr>
                <w:rFonts w:ascii="Times New Roman" w:hAnsi="Times New Roman"/>
                <w:b/>
                <w:sz w:val="26"/>
                <w:szCs w:val="26"/>
              </w:rPr>
              <w:t>1643 din 19 decembrie 2002</w:t>
            </w:r>
            <w:r w:rsidRPr="0018134B">
              <w:rPr>
                <w:rFonts w:ascii="Times New Roman" w:hAnsi="Times New Roman"/>
                <w:sz w:val="26"/>
                <w:szCs w:val="26"/>
              </w:rPr>
              <w:t>, care a devenit caduc la data de</w:t>
            </w:r>
            <w:r w:rsidR="00A47C33" w:rsidRPr="0018134B">
              <w:rPr>
                <w:rFonts w:ascii="Times New Roman" w:hAnsi="Times New Roman"/>
                <w:sz w:val="26"/>
                <w:szCs w:val="26"/>
              </w:rPr>
              <w:t xml:space="preserve"> 07.09.2007, odată cu abrogarea temeiului legal în baza căruia a fost aprobat și anume a </w:t>
            </w:r>
            <w:r w:rsidRPr="0018134B">
              <w:rPr>
                <w:rFonts w:ascii="Times New Roman" w:hAnsi="Times New Roman"/>
                <w:sz w:val="26"/>
                <w:szCs w:val="26"/>
              </w:rPr>
              <w:t>Hotărârii Guvernului nr. 360 din 11 aprilie 2000 despre aprobarea Strategiei energetice a Republ</w:t>
            </w:r>
            <w:r w:rsidR="00A47C33" w:rsidRPr="0018134B">
              <w:rPr>
                <w:rFonts w:ascii="Times New Roman" w:hAnsi="Times New Roman"/>
                <w:sz w:val="26"/>
                <w:szCs w:val="26"/>
              </w:rPr>
              <w:t>icii Moldova până în anul 2010</w:t>
            </w:r>
            <w:r w:rsidR="00A63EF2" w:rsidRPr="0018134B">
              <w:rPr>
                <w:rFonts w:ascii="Times New Roman" w:hAnsi="Times New Roman"/>
                <w:sz w:val="26"/>
                <w:szCs w:val="26"/>
              </w:rPr>
              <w:t>;</w:t>
            </w:r>
          </w:p>
          <w:p w14:paraId="14633FDB" w14:textId="77777777" w:rsidR="00A63EF2" w:rsidRPr="0018134B" w:rsidRDefault="00A63EF2" w:rsidP="001215F9">
            <w:pPr>
              <w:pStyle w:val="ListParagraph"/>
              <w:tabs>
                <w:tab w:val="left" w:pos="709"/>
                <w:tab w:val="left" w:pos="884"/>
                <w:tab w:val="left" w:pos="1196"/>
              </w:tabs>
              <w:spacing w:before="100" w:line="240" w:lineRule="auto"/>
              <w:jc w:val="both"/>
              <w:rPr>
                <w:rFonts w:ascii="Times New Roman" w:hAnsi="Times New Roman"/>
                <w:sz w:val="26"/>
                <w:szCs w:val="26"/>
              </w:rPr>
            </w:pPr>
          </w:p>
          <w:p w14:paraId="38C95A93" w14:textId="77777777" w:rsidR="007E32A1" w:rsidRPr="0018134B" w:rsidRDefault="002657EE" w:rsidP="001215F9">
            <w:pPr>
              <w:pStyle w:val="ListParagraph"/>
              <w:numPr>
                <w:ilvl w:val="0"/>
                <w:numId w:val="16"/>
              </w:numPr>
              <w:tabs>
                <w:tab w:val="left" w:pos="709"/>
                <w:tab w:val="left" w:pos="884"/>
                <w:tab w:val="left" w:pos="1196"/>
              </w:tabs>
              <w:spacing w:after="0" w:line="240" w:lineRule="auto"/>
              <w:ind w:left="714" w:hanging="357"/>
              <w:jc w:val="both"/>
              <w:rPr>
                <w:rFonts w:ascii="Times New Roman" w:hAnsi="Times New Roman"/>
                <w:bCs/>
                <w:sz w:val="26"/>
                <w:szCs w:val="26"/>
              </w:rPr>
            </w:pPr>
            <w:r w:rsidRPr="0018134B">
              <w:rPr>
                <w:rFonts w:ascii="Times New Roman" w:hAnsi="Times New Roman"/>
                <w:b/>
                <w:sz w:val="26"/>
                <w:szCs w:val="26"/>
              </w:rPr>
              <w:t>Hotărârii Guvernului nr. 715/2008 cu privire la măsurile de accelerare a procesului de gazificare internă a localităților</w:t>
            </w:r>
            <w:r w:rsidRPr="0018134B">
              <w:rPr>
                <w:rFonts w:ascii="Times New Roman" w:hAnsi="Times New Roman"/>
                <w:sz w:val="26"/>
                <w:szCs w:val="26"/>
              </w:rPr>
              <w:t xml:space="preserve">, care a devenit caducă drept urmare a implementării Legii nr. 108/2016 cu privire la gazele naturale și aprobării de către ANRE a cadrului normativ de reglementare a sectorului gazelor naturale, prevăzut de lege. Abrogarea Hotărârii de Guvern respective derivă din abrogarea documentelor de politici întru implementarea cărora a fost adoptată (a se vedea pct. 2 din Regulamentul aprobat prin HG nr. 715/2008). Cu titlu de precizare, menționăm că scopul Hotărârii Guvernului a fost realizarea Strategiei energetice a Republicii Moldova până în anul 2020, aprobată prin Hotărârea Guvernului nr. 958 din 21 august 2007 (abrogată la data de 08.02.2013), atingerea indicilor prevăzuți de Programul Național „Satul Moldovenesc”, aprobat prin Hotărârea Guvernului nr. 242 din 1 martie 2005 (abrogat la data de 31.10.2012). </w:t>
            </w:r>
            <w:r w:rsidR="0079339E" w:rsidRPr="0018134B">
              <w:rPr>
                <w:rFonts w:ascii="Times New Roman" w:hAnsi="Times New Roman"/>
                <w:bCs/>
                <w:sz w:val="26"/>
                <w:szCs w:val="26"/>
              </w:rPr>
              <w:t>Acest fapt a fost menționat în repetate rânduri în Rapoartele de activitate ale Agenției Naționale pentru Reglementare în Energetică (pentru an. 2023,  an. 2022, an. 2021, an. 2020</w:t>
            </w:r>
            <w:r w:rsidR="007E32A1" w:rsidRPr="0018134B">
              <w:rPr>
                <w:rFonts w:ascii="Times New Roman" w:hAnsi="Times New Roman"/>
                <w:bCs/>
                <w:sz w:val="26"/>
                <w:szCs w:val="26"/>
              </w:rPr>
              <w:t>);</w:t>
            </w:r>
          </w:p>
          <w:p w14:paraId="7D094B8C" w14:textId="37B1BDC1" w:rsidR="002657EE" w:rsidRPr="0018134B" w:rsidRDefault="0079339E" w:rsidP="001215F9">
            <w:pPr>
              <w:pStyle w:val="ListParagraph"/>
              <w:tabs>
                <w:tab w:val="left" w:pos="709"/>
                <w:tab w:val="left" w:pos="884"/>
                <w:tab w:val="left" w:pos="1196"/>
              </w:tabs>
              <w:spacing w:after="0" w:line="240" w:lineRule="auto"/>
              <w:ind w:left="714"/>
              <w:jc w:val="both"/>
              <w:rPr>
                <w:rFonts w:ascii="Times New Roman" w:hAnsi="Times New Roman"/>
                <w:bCs/>
                <w:sz w:val="26"/>
                <w:szCs w:val="26"/>
              </w:rPr>
            </w:pPr>
            <w:r w:rsidRPr="0018134B">
              <w:rPr>
                <w:rFonts w:ascii="Times New Roman" w:hAnsi="Times New Roman"/>
                <w:bCs/>
                <w:sz w:val="26"/>
                <w:szCs w:val="26"/>
              </w:rPr>
              <w:t xml:space="preserve"> </w:t>
            </w:r>
          </w:p>
          <w:p w14:paraId="3214C8D6" w14:textId="150F2C3B" w:rsidR="00764CDF" w:rsidRPr="0018134B" w:rsidRDefault="007E32A1" w:rsidP="001215F9">
            <w:pPr>
              <w:pStyle w:val="ListParagraph"/>
              <w:numPr>
                <w:ilvl w:val="0"/>
                <w:numId w:val="16"/>
              </w:numPr>
              <w:tabs>
                <w:tab w:val="left" w:pos="709"/>
                <w:tab w:val="left" w:pos="884"/>
                <w:tab w:val="left" w:pos="1196"/>
              </w:tabs>
              <w:spacing w:after="0" w:line="240" w:lineRule="auto"/>
              <w:jc w:val="both"/>
              <w:rPr>
                <w:rFonts w:ascii="Times New Roman" w:hAnsi="Times New Roman"/>
                <w:sz w:val="26"/>
                <w:szCs w:val="26"/>
              </w:rPr>
            </w:pPr>
            <w:r w:rsidRPr="0018134B">
              <w:rPr>
                <w:rFonts w:ascii="Times New Roman" w:hAnsi="Times New Roman"/>
                <w:b/>
                <w:sz w:val="26"/>
                <w:szCs w:val="26"/>
              </w:rPr>
              <w:t>Hotărârii</w:t>
            </w:r>
            <w:r w:rsidR="002657EE" w:rsidRPr="0018134B">
              <w:rPr>
                <w:rFonts w:ascii="Times New Roman" w:hAnsi="Times New Roman"/>
                <w:b/>
                <w:sz w:val="26"/>
                <w:szCs w:val="26"/>
              </w:rPr>
              <w:t xml:space="preserve"> Guvernului nr. 1226/2002 cu privire la aprobarea Regulamentului de organizare şi executare a lucrărilor de proiectare, montare şi recepţie a sist</w:t>
            </w:r>
            <w:r w:rsidR="009872D3" w:rsidRPr="0018134B">
              <w:rPr>
                <w:rFonts w:ascii="Times New Roman" w:hAnsi="Times New Roman"/>
                <w:b/>
                <w:sz w:val="26"/>
                <w:szCs w:val="26"/>
              </w:rPr>
              <w:t>emelor de aprovizionare cu gaze</w:t>
            </w:r>
            <w:r w:rsidR="009872D3" w:rsidRPr="0018134B">
              <w:rPr>
                <w:rFonts w:ascii="Times New Roman" w:hAnsi="Times New Roman"/>
                <w:sz w:val="26"/>
                <w:szCs w:val="26"/>
              </w:rPr>
              <w:t>. Abrogarea Hotărârii de Guvern respective derivă din</w:t>
            </w:r>
            <w:r w:rsidR="001A0D6F" w:rsidRPr="0018134B">
              <w:rPr>
                <w:rFonts w:ascii="Times New Roman" w:hAnsi="Times New Roman"/>
                <w:sz w:val="26"/>
                <w:szCs w:val="26"/>
              </w:rPr>
              <w:t xml:space="preserve"> desuetudinea</w:t>
            </w:r>
            <w:r w:rsidR="009872D3" w:rsidRPr="0018134B">
              <w:rPr>
                <w:rFonts w:ascii="Times New Roman" w:hAnsi="Times New Roman"/>
                <w:sz w:val="26"/>
                <w:szCs w:val="26"/>
              </w:rPr>
              <w:t xml:space="preserve"> temeiului legal de adoptare, precum și documentului de politici întru implementarea căruia a fost adoptată</w:t>
            </w:r>
            <w:r w:rsidR="001A0D6F" w:rsidRPr="0018134B">
              <w:rPr>
                <w:rFonts w:ascii="Times New Roman" w:hAnsi="Times New Roman"/>
                <w:sz w:val="26"/>
                <w:szCs w:val="26"/>
              </w:rPr>
              <w:t xml:space="preserve"> Hotărârea respectivă</w:t>
            </w:r>
            <w:r w:rsidR="00764CDF" w:rsidRPr="0018134B">
              <w:rPr>
                <w:rFonts w:ascii="Times New Roman" w:hAnsi="Times New Roman"/>
                <w:sz w:val="26"/>
                <w:szCs w:val="26"/>
              </w:rPr>
              <w:t xml:space="preserve">, și anume: </w:t>
            </w:r>
          </w:p>
          <w:p w14:paraId="5DD0219B" w14:textId="6F6E082F" w:rsidR="00873DD8" w:rsidRPr="0018134B" w:rsidRDefault="009872D3" w:rsidP="001215F9">
            <w:pPr>
              <w:pStyle w:val="ListParagraph"/>
              <w:numPr>
                <w:ilvl w:val="0"/>
                <w:numId w:val="7"/>
              </w:numPr>
              <w:tabs>
                <w:tab w:val="left" w:pos="709"/>
              </w:tabs>
              <w:spacing w:after="0" w:line="240" w:lineRule="auto"/>
              <w:jc w:val="both"/>
              <w:rPr>
                <w:rFonts w:ascii="Times New Roman" w:hAnsi="Times New Roman"/>
                <w:sz w:val="26"/>
                <w:szCs w:val="26"/>
              </w:rPr>
            </w:pPr>
            <w:r w:rsidRPr="0018134B">
              <w:rPr>
                <w:rFonts w:ascii="Times New Roman" w:hAnsi="Times New Roman"/>
                <w:sz w:val="26"/>
                <w:szCs w:val="26"/>
              </w:rPr>
              <w:t>Legea nr. 592/1995 privind transportul prin conducte magistrale</w:t>
            </w:r>
            <w:r w:rsidR="00BD00D8" w:rsidRPr="0018134B">
              <w:rPr>
                <w:rFonts w:ascii="Times New Roman" w:hAnsi="Times New Roman"/>
                <w:sz w:val="26"/>
                <w:szCs w:val="26"/>
              </w:rPr>
              <w:t>,</w:t>
            </w:r>
            <w:r w:rsidRPr="0018134B">
              <w:rPr>
                <w:rFonts w:ascii="Times New Roman" w:hAnsi="Times New Roman"/>
                <w:sz w:val="26"/>
                <w:szCs w:val="26"/>
              </w:rPr>
              <w:t xml:space="preserve"> </w:t>
            </w:r>
            <w:r w:rsidR="00873DD8" w:rsidRPr="0018134B">
              <w:rPr>
                <w:rFonts w:ascii="Times New Roman" w:hAnsi="Times New Roman"/>
                <w:sz w:val="26"/>
                <w:szCs w:val="26"/>
              </w:rPr>
              <w:t xml:space="preserve">prevederile căreia sunt absolut inaplicabile, </w:t>
            </w:r>
            <w:r w:rsidR="00BE198F" w:rsidRPr="0018134B">
              <w:rPr>
                <w:rFonts w:ascii="Times New Roman" w:hAnsi="Times New Roman"/>
                <w:sz w:val="26"/>
                <w:szCs w:val="26"/>
              </w:rPr>
              <w:t xml:space="preserve">nu mai corespund echilibrului dintre </w:t>
            </w:r>
            <w:r w:rsidR="00483BB3" w:rsidRPr="0018134B">
              <w:rPr>
                <w:rFonts w:ascii="Times New Roman" w:hAnsi="Times New Roman"/>
                <w:sz w:val="26"/>
                <w:szCs w:val="26"/>
              </w:rPr>
              <w:t>cerințele</w:t>
            </w:r>
            <w:r w:rsidR="00BE198F" w:rsidRPr="0018134B">
              <w:rPr>
                <w:rFonts w:ascii="Times New Roman" w:hAnsi="Times New Roman"/>
                <w:sz w:val="26"/>
                <w:szCs w:val="26"/>
              </w:rPr>
              <w:t xml:space="preserve"> sociale de reglementare legală, constituind paralelisme legislative desuete, care </w:t>
            </w:r>
            <w:r w:rsidR="00483BB3" w:rsidRPr="0018134B">
              <w:rPr>
                <w:rFonts w:ascii="Times New Roman" w:hAnsi="Times New Roman"/>
                <w:sz w:val="26"/>
                <w:szCs w:val="26"/>
              </w:rPr>
              <w:t>creează</w:t>
            </w:r>
            <w:r w:rsidR="00BE198F" w:rsidRPr="0018134B">
              <w:rPr>
                <w:rFonts w:ascii="Times New Roman" w:hAnsi="Times New Roman"/>
                <w:sz w:val="26"/>
                <w:szCs w:val="26"/>
              </w:rPr>
              <w:t xml:space="preserve"> divergențe de interpretare</w:t>
            </w:r>
            <w:r w:rsidR="00483BB3" w:rsidRPr="0018134B">
              <w:rPr>
                <w:rFonts w:ascii="Times New Roman" w:hAnsi="Times New Roman"/>
                <w:sz w:val="26"/>
                <w:szCs w:val="26"/>
              </w:rPr>
              <w:t xml:space="preserve">. </w:t>
            </w:r>
            <w:r w:rsidR="00DE2C29" w:rsidRPr="0018134B">
              <w:rPr>
                <w:rFonts w:ascii="Times New Roman" w:hAnsi="Times New Roman"/>
                <w:sz w:val="26"/>
                <w:szCs w:val="26"/>
              </w:rPr>
              <w:t xml:space="preserve">Activitățile care formează obiectul de reglementare al Legii nr. 592/1995, reprezintă activități ale sectoarelor energeticii reglementate prin </w:t>
            </w:r>
            <w:r w:rsidR="00DE2C29" w:rsidRPr="0018134B">
              <w:rPr>
                <w:rFonts w:ascii="Times New Roman" w:hAnsi="Times New Roman"/>
                <w:sz w:val="26"/>
                <w:szCs w:val="26"/>
              </w:rPr>
              <w:lastRenderedPageBreak/>
              <w:t>legislația sectorială respectivă.</w:t>
            </w:r>
            <w:r w:rsidR="00DE2C29" w:rsidRPr="0018134B">
              <w:rPr>
                <w:rFonts w:ascii="Times New Roman" w:hAnsi="Times New Roman"/>
                <w:bCs/>
                <w:iCs/>
                <w:sz w:val="26"/>
                <w:szCs w:val="26"/>
                <w:lang w:eastAsia="en-US"/>
              </w:rPr>
              <w:t xml:space="preserve"> </w:t>
            </w:r>
            <w:r w:rsidR="00DE2C29" w:rsidRPr="0018134B">
              <w:rPr>
                <w:rFonts w:ascii="Times New Roman" w:hAnsi="Times New Roman"/>
                <w:bCs/>
                <w:iCs/>
                <w:sz w:val="26"/>
                <w:szCs w:val="26"/>
              </w:rPr>
              <w:t xml:space="preserve">Astfel, transportul gazelor naturale reprezintă o activitate reglementată prin Legea nr. 108/2016 cu privire la gazele naturale, iar activitatea de transport al produselor petroliere este o activitate reglementată prin Legea nr. </w:t>
            </w:r>
            <w:r w:rsidR="00DE2C29" w:rsidRPr="0018134B">
              <w:rPr>
                <w:rFonts w:ascii="Times New Roman" w:hAnsi="Times New Roman"/>
                <w:sz w:val="26"/>
                <w:szCs w:val="26"/>
              </w:rPr>
              <w:t xml:space="preserve">461/2001 privind piața produselor petroliere. </w:t>
            </w:r>
            <w:r w:rsidR="00483BB3" w:rsidRPr="0018134B">
              <w:rPr>
                <w:rFonts w:ascii="Times New Roman" w:hAnsi="Times New Roman"/>
                <w:sz w:val="26"/>
                <w:szCs w:val="26"/>
              </w:rPr>
              <w:t>Întru degrevarea cadrului legal de normele desuete ale Legii nominalizate, prin proiectul de lege privind modificarea Legii nr. 108/2016 cu privire la gazele naturale a fost propusă abrogarea</w:t>
            </w:r>
            <w:r w:rsidR="0034491D" w:rsidRPr="0018134B">
              <w:rPr>
                <w:rFonts w:ascii="Times New Roman" w:hAnsi="Times New Roman"/>
                <w:sz w:val="26"/>
                <w:szCs w:val="26"/>
              </w:rPr>
              <w:t xml:space="preserve"> Legea nr. 592/1995 privind transportul prin conducte magistrale</w:t>
            </w:r>
            <w:r w:rsidR="00483BB3" w:rsidRPr="0018134B">
              <w:rPr>
                <w:rFonts w:ascii="Times New Roman" w:hAnsi="Times New Roman"/>
                <w:sz w:val="26"/>
                <w:szCs w:val="26"/>
              </w:rPr>
              <w:t xml:space="preserve">. Proiectul de lege este în prezent în proces de consultare și promovare în conformitate cu procedura legală de legiferare. </w:t>
            </w:r>
          </w:p>
          <w:p w14:paraId="5C14CA21" w14:textId="6A306644" w:rsidR="00121982" w:rsidRPr="0018134B" w:rsidRDefault="00BD00D8" w:rsidP="001215F9">
            <w:pPr>
              <w:pStyle w:val="ListParagraph"/>
              <w:numPr>
                <w:ilvl w:val="0"/>
                <w:numId w:val="7"/>
              </w:numPr>
              <w:tabs>
                <w:tab w:val="left" w:pos="709"/>
                <w:tab w:val="left" w:pos="884"/>
                <w:tab w:val="left" w:pos="1196"/>
              </w:tabs>
              <w:spacing w:after="0" w:line="240" w:lineRule="auto"/>
              <w:jc w:val="both"/>
              <w:rPr>
                <w:rFonts w:ascii="Times New Roman" w:hAnsi="Times New Roman"/>
                <w:sz w:val="26"/>
                <w:szCs w:val="26"/>
              </w:rPr>
            </w:pPr>
            <w:hyperlink r:id="rId8" w:history="1">
              <w:r w:rsidRPr="0018134B">
                <w:rPr>
                  <w:rFonts w:ascii="Times New Roman" w:hAnsi="Times New Roman"/>
                  <w:sz w:val="26"/>
                  <w:szCs w:val="26"/>
                </w:rPr>
                <w:t>Legea nr.136/1998 cu privire la gaze, a fost abrogată prin Legea nr. 123/2009 cu privire la gazele naturale, care la rândul său a fost abrogată prin Legea nr. 108/2016 cu privire la gazele naturale</w:t>
              </w:r>
              <w:r w:rsidR="0047445B" w:rsidRPr="0018134B">
                <w:rPr>
                  <w:rFonts w:ascii="Times New Roman" w:hAnsi="Times New Roman"/>
                  <w:sz w:val="26"/>
                  <w:szCs w:val="26"/>
                </w:rPr>
                <w:t>;</w:t>
              </w:r>
            </w:hyperlink>
          </w:p>
          <w:p w14:paraId="3A6EFF5D" w14:textId="77777777" w:rsidR="00121982" w:rsidRPr="0018134B" w:rsidRDefault="009A77F4" w:rsidP="001215F9">
            <w:pPr>
              <w:pStyle w:val="ListParagraph"/>
              <w:numPr>
                <w:ilvl w:val="0"/>
                <w:numId w:val="7"/>
              </w:numPr>
              <w:tabs>
                <w:tab w:val="left" w:pos="709"/>
                <w:tab w:val="left" w:pos="884"/>
                <w:tab w:val="left" w:pos="1196"/>
              </w:tabs>
              <w:spacing w:after="0" w:line="240" w:lineRule="auto"/>
              <w:jc w:val="both"/>
              <w:rPr>
                <w:rFonts w:ascii="Times New Roman" w:hAnsi="Times New Roman"/>
                <w:sz w:val="26"/>
                <w:szCs w:val="26"/>
              </w:rPr>
            </w:pPr>
            <w:r w:rsidRPr="0018134B">
              <w:rPr>
                <w:rFonts w:ascii="Times New Roman" w:hAnsi="Times New Roman"/>
                <w:sz w:val="26"/>
                <w:szCs w:val="26"/>
              </w:rPr>
              <w:t>Legea nr. 803/2000 privind securitatea industrială a obiectelor industriale periculoase a fost abrogată prin Legea nr. 116/2012 privind securitatea industrială a obiectelor industriale periculoase, abrogată la rândul său prin Legea nr. 151/2022 privind funcţionarea în condiţii de siguranţă a obiectivelor industriale şi a instalaţiilo</w:t>
            </w:r>
            <w:r w:rsidR="0047445B" w:rsidRPr="0018134B">
              <w:rPr>
                <w:rFonts w:ascii="Times New Roman" w:hAnsi="Times New Roman"/>
                <w:sz w:val="26"/>
                <w:szCs w:val="26"/>
              </w:rPr>
              <w:t>r tehnice potenţial periculoase;</w:t>
            </w:r>
            <w:r w:rsidRPr="0018134B">
              <w:rPr>
                <w:rFonts w:ascii="Times New Roman" w:hAnsi="Times New Roman"/>
                <w:sz w:val="26"/>
                <w:szCs w:val="26"/>
              </w:rPr>
              <w:t xml:space="preserve"> </w:t>
            </w:r>
          </w:p>
          <w:p w14:paraId="012AF852" w14:textId="77777777" w:rsidR="00121982" w:rsidRPr="0018134B" w:rsidRDefault="009A77F4" w:rsidP="001215F9">
            <w:pPr>
              <w:pStyle w:val="ListParagraph"/>
              <w:numPr>
                <w:ilvl w:val="0"/>
                <w:numId w:val="7"/>
              </w:numPr>
              <w:tabs>
                <w:tab w:val="left" w:pos="709"/>
                <w:tab w:val="left" w:pos="884"/>
                <w:tab w:val="left" w:pos="1196"/>
              </w:tabs>
              <w:spacing w:after="0" w:line="240" w:lineRule="auto"/>
              <w:jc w:val="both"/>
              <w:rPr>
                <w:rFonts w:ascii="Times New Roman" w:hAnsi="Times New Roman"/>
                <w:sz w:val="26"/>
                <w:szCs w:val="26"/>
              </w:rPr>
            </w:pPr>
            <w:r w:rsidRPr="0018134B">
              <w:rPr>
                <w:rFonts w:ascii="Times New Roman" w:hAnsi="Times New Roman"/>
                <w:sz w:val="26"/>
                <w:szCs w:val="26"/>
              </w:rPr>
              <w:t>Legea nr.  625/1991 cu privire la protecţia muncii</w:t>
            </w:r>
            <w:r w:rsidR="008B522A" w:rsidRPr="0018134B">
              <w:rPr>
                <w:rFonts w:ascii="Times New Roman" w:hAnsi="Times New Roman"/>
                <w:sz w:val="26"/>
                <w:szCs w:val="26"/>
              </w:rPr>
              <w:t xml:space="preserve">, care </w:t>
            </w:r>
            <w:r w:rsidRPr="0018134B">
              <w:rPr>
                <w:rFonts w:ascii="Times New Roman" w:hAnsi="Times New Roman"/>
                <w:sz w:val="26"/>
                <w:szCs w:val="26"/>
              </w:rPr>
              <w:t xml:space="preserve"> </w:t>
            </w:r>
            <w:r w:rsidR="00764CDF" w:rsidRPr="0018134B">
              <w:rPr>
                <w:rFonts w:ascii="Times New Roman" w:hAnsi="Times New Roman"/>
                <w:sz w:val="26"/>
                <w:szCs w:val="26"/>
              </w:rPr>
              <w:t>a fost abrogată prin Legea nr. 280/2007 Lege pentru modificarea şi co</w:t>
            </w:r>
            <w:r w:rsidR="0047445B" w:rsidRPr="0018134B">
              <w:rPr>
                <w:rFonts w:ascii="Times New Roman" w:hAnsi="Times New Roman"/>
                <w:sz w:val="26"/>
                <w:szCs w:val="26"/>
              </w:rPr>
              <w:t>mpletarea unor acte legislative;</w:t>
            </w:r>
            <w:r w:rsidR="00764CDF" w:rsidRPr="0018134B">
              <w:rPr>
                <w:rFonts w:ascii="Times New Roman" w:hAnsi="Times New Roman"/>
                <w:sz w:val="26"/>
                <w:szCs w:val="26"/>
              </w:rPr>
              <w:t xml:space="preserve"> </w:t>
            </w:r>
          </w:p>
          <w:p w14:paraId="53978887" w14:textId="740658C5" w:rsidR="00121982" w:rsidRPr="0018134B" w:rsidRDefault="00121982" w:rsidP="001215F9">
            <w:pPr>
              <w:pStyle w:val="ListParagraph"/>
              <w:numPr>
                <w:ilvl w:val="0"/>
                <w:numId w:val="7"/>
              </w:numPr>
              <w:tabs>
                <w:tab w:val="left" w:pos="709"/>
                <w:tab w:val="left" w:pos="884"/>
                <w:tab w:val="left" w:pos="1196"/>
              </w:tabs>
              <w:spacing w:after="0" w:line="240" w:lineRule="auto"/>
              <w:jc w:val="both"/>
              <w:rPr>
                <w:rFonts w:ascii="Times New Roman" w:hAnsi="Times New Roman"/>
                <w:sz w:val="26"/>
                <w:szCs w:val="26"/>
              </w:rPr>
            </w:pPr>
            <w:r w:rsidRPr="0018134B">
              <w:rPr>
                <w:rFonts w:ascii="Times New Roman" w:hAnsi="Times New Roman"/>
                <w:sz w:val="26"/>
                <w:szCs w:val="26"/>
              </w:rPr>
              <w:t xml:space="preserve">Legea nr. 721/1996 privind calitatea în construcții, care a fost abrogată prin Codul urbanismului și construcțiilor nr. 434/2023; </w:t>
            </w:r>
          </w:p>
          <w:p w14:paraId="7F236BD4" w14:textId="59DC7B23" w:rsidR="002657EE" w:rsidRPr="0018134B" w:rsidRDefault="00764CDF" w:rsidP="001215F9">
            <w:pPr>
              <w:pStyle w:val="ListParagraph"/>
              <w:numPr>
                <w:ilvl w:val="0"/>
                <w:numId w:val="7"/>
              </w:numPr>
              <w:tabs>
                <w:tab w:val="left" w:pos="709"/>
                <w:tab w:val="left" w:pos="884"/>
                <w:tab w:val="left" w:pos="1196"/>
              </w:tabs>
              <w:spacing w:after="0" w:line="240" w:lineRule="auto"/>
              <w:jc w:val="both"/>
              <w:rPr>
                <w:rFonts w:ascii="Times New Roman" w:hAnsi="Times New Roman"/>
                <w:sz w:val="26"/>
                <w:szCs w:val="26"/>
              </w:rPr>
            </w:pPr>
            <w:hyperlink r:id="rId9" w:history="1">
              <w:r w:rsidRPr="0018134B">
                <w:rPr>
                  <w:rFonts w:ascii="Times New Roman" w:hAnsi="Times New Roman"/>
                  <w:sz w:val="26"/>
                  <w:szCs w:val="26"/>
                </w:rPr>
                <w:t>Hotărârea Guvernului Republicii Moldova nr. 1492/2001</w:t>
              </w:r>
            </w:hyperlink>
            <w:r w:rsidRPr="0018134B">
              <w:rPr>
                <w:rFonts w:ascii="Times New Roman" w:hAnsi="Times New Roman"/>
                <w:sz w:val="26"/>
                <w:szCs w:val="26"/>
              </w:rPr>
              <w:t xml:space="preserve"> cu privire la aprobarea Programului de gazificare a Republicii Moldova pînă în anul 2005</w:t>
            </w:r>
            <w:r w:rsidR="008B522A" w:rsidRPr="0018134B">
              <w:rPr>
                <w:rFonts w:ascii="Times New Roman" w:hAnsi="Times New Roman"/>
                <w:sz w:val="26"/>
                <w:szCs w:val="26"/>
              </w:rPr>
              <w:t>, care</w:t>
            </w:r>
            <w:r w:rsidR="009872D3" w:rsidRPr="0018134B">
              <w:rPr>
                <w:rFonts w:ascii="Times New Roman" w:hAnsi="Times New Roman"/>
                <w:sz w:val="26"/>
                <w:szCs w:val="26"/>
              </w:rPr>
              <w:t xml:space="preserve"> a fost abrogată prin Hotărârea Guvernului nr. 1492/2001 cu privire la aprobarea Programului de gazificare a Republicii Moldova până în anul 2005, care la rândul său a fost abrogată prin Hotărârea Guvernului nr. 796/2012 cu privire la abrogarea unor</w:t>
            </w:r>
            <w:r w:rsidR="006937FB" w:rsidRPr="0018134B">
              <w:rPr>
                <w:rFonts w:ascii="Times New Roman" w:hAnsi="Times New Roman"/>
                <w:sz w:val="26"/>
                <w:szCs w:val="26"/>
              </w:rPr>
              <w:t xml:space="preserve"> acte normative ale Guvernului;</w:t>
            </w:r>
          </w:p>
          <w:p w14:paraId="7A6CD3D7" w14:textId="77777777" w:rsidR="006937FB" w:rsidRPr="0018134B" w:rsidRDefault="006937FB" w:rsidP="001215F9">
            <w:pPr>
              <w:pStyle w:val="ListParagraph"/>
              <w:tabs>
                <w:tab w:val="left" w:pos="709"/>
                <w:tab w:val="left" w:pos="884"/>
                <w:tab w:val="left" w:pos="1196"/>
              </w:tabs>
              <w:spacing w:after="0" w:line="240" w:lineRule="auto"/>
              <w:jc w:val="both"/>
              <w:rPr>
                <w:rFonts w:ascii="Times New Roman" w:hAnsi="Times New Roman"/>
                <w:sz w:val="26"/>
                <w:szCs w:val="26"/>
              </w:rPr>
            </w:pPr>
          </w:p>
          <w:p w14:paraId="6E6A5E65" w14:textId="16A962FB" w:rsidR="002657EE" w:rsidRPr="0018134B" w:rsidRDefault="00A47C33" w:rsidP="001215F9">
            <w:pPr>
              <w:pStyle w:val="ListParagraph"/>
              <w:numPr>
                <w:ilvl w:val="0"/>
                <w:numId w:val="16"/>
              </w:numPr>
              <w:tabs>
                <w:tab w:val="left" w:pos="709"/>
                <w:tab w:val="left" w:pos="884"/>
                <w:tab w:val="left" w:pos="1196"/>
              </w:tabs>
              <w:spacing w:before="100" w:line="240" w:lineRule="auto"/>
              <w:jc w:val="both"/>
              <w:rPr>
                <w:rFonts w:ascii="Times New Roman" w:hAnsi="Times New Roman"/>
                <w:bCs/>
                <w:sz w:val="26"/>
                <w:szCs w:val="26"/>
              </w:rPr>
            </w:pPr>
            <w:r w:rsidRPr="0018134B">
              <w:rPr>
                <w:rFonts w:ascii="Times New Roman" w:hAnsi="Times New Roman"/>
                <w:sz w:val="26"/>
                <w:szCs w:val="26"/>
              </w:rPr>
              <w:t xml:space="preserve">Subsecvent, </w:t>
            </w:r>
            <w:r w:rsidRPr="0018134B">
              <w:rPr>
                <w:rFonts w:ascii="Times New Roman" w:hAnsi="Times New Roman"/>
                <w:bCs/>
                <w:sz w:val="26"/>
                <w:szCs w:val="26"/>
              </w:rPr>
              <w:t xml:space="preserve">survine necesitatea suprimării paralelismelor desuete ale actelor normative subordonate Legii nr. 108/2016 cu privire la gazele naturale, prin abrogarea </w:t>
            </w:r>
            <w:r w:rsidRPr="0018134B">
              <w:rPr>
                <w:rFonts w:ascii="Times New Roman" w:hAnsi="Times New Roman"/>
                <w:b/>
                <w:sz w:val="26"/>
                <w:szCs w:val="26"/>
              </w:rPr>
              <w:t>Hotărârii</w:t>
            </w:r>
            <w:r w:rsidR="002657EE" w:rsidRPr="0018134B">
              <w:rPr>
                <w:rFonts w:ascii="Times New Roman" w:hAnsi="Times New Roman"/>
                <w:b/>
                <w:sz w:val="26"/>
                <w:szCs w:val="26"/>
              </w:rPr>
              <w:t xml:space="preserve"> Guvernului nr. 268/2005 cu privire la aprobarea Modului de formare a preţurilor pentru proiectarea şi construcţia sistemelor de alimentare c</w:t>
            </w:r>
            <w:r w:rsidRPr="0018134B">
              <w:rPr>
                <w:rFonts w:ascii="Times New Roman" w:hAnsi="Times New Roman"/>
                <w:b/>
                <w:sz w:val="26"/>
                <w:szCs w:val="26"/>
              </w:rPr>
              <w:t>u gaze naturale şi apă potabilă</w:t>
            </w:r>
            <w:r w:rsidRPr="0018134B">
              <w:rPr>
                <w:rFonts w:ascii="Times New Roman" w:hAnsi="Times New Roman"/>
                <w:sz w:val="26"/>
                <w:szCs w:val="26"/>
              </w:rPr>
              <w:t xml:space="preserve"> și </w:t>
            </w:r>
            <w:r w:rsidRPr="0018134B">
              <w:rPr>
                <w:rFonts w:ascii="Times New Roman" w:hAnsi="Times New Roman"/>
                <w:b/>
                <w:sz w:val="26"/>
                <w:szCs w:val="26"/>
              </w:rPr>
              <w:t>Hotărârii</w:t>
            </w:r>
            <w:r w:rsidR="002657EE" w:rsidRPr="0018134B">
              <w:rPr>
                <w:rFonts w:ascii="Times New Roman" w:hAnsi="Times New Roman"/>
                <w:b/>
                <w:sz w:val="26"/>
                <w:szCs w:val="26"/>
              </w:rPr>
              <w:t xml:space="preserve"> Guvernului nr. 123/2007 cu privire la aprobarea Instrucţiunilor metodice privind implementarea Modului de formare a preţurilor pentru proiectarea şi construcţia sistemelor de alimentare cu gaze naturale şi apă potabilă</w:t>
            </w:r>
            <w:r w:rsidR="002657EE" w:rsidRPr="0018134B">
              <w:rPr>
                <w:rFonts w:ascii="Times New Roman" w:hAnsi="Times New Roman"/>
                <w:sz w:val="26"/>
                <w:szCs w:val="26"/>
              </w:rPr>
              <w:t>.</w:t>
            </w:r>
          </w:p>
          <w:p w14:paraId="33EEEEED" w14:textId="2D2F6D1B" w:rsidR="00A27164" w:rsidRPr="0018134B" w:rsidRDefault="00A27164" w:rsidP="001215F9">
            <w:pPr>
              <w:tabs>
                <w:tab w:val="left" w:pos="709"/>
                <w:tab w:val="left" w:pos="884"/>
                <w:tab w:val="left" w:pos="1196"/>
              </w:tabs>
              <w:spacing w:after="120" w:line="240" w:lineRule="auto"/>
              <w:jc w:val="both"/>
              <w:rPr>
                <w:rFonts w:ascii="Times New Roman" w:hAnsi="Times New Roman"/>
                <w:bCs/>
                <w:sz w:val="26"/>
                <w:szCs w:val="26"/>
              </w:rPr>
            </w:pPr>
            <w:r w:rsidRPr="0018134B">
              <w:rPr>
                <w:rFonts w:ascii="Times New Roman" w:hAnsi="Times New Roman"/>
                <w:bCs/>
                <w:sz w:val="26"/>
                <w:szCs w:val="26"/>
              </w:rPr>
              <w:t xml:space="preserve">O altă problemă care impune intervenția instituției abrogării </w:t>
            </w:r>
            <w:r w:rsidR="003C6BF8">
              <w:rPr>
                <w:rFonts w:ascii="Times New Roman" w:hAnsi="Times New Roman"/>
                <w:bCs/>
                <w:sz w:val="26"/>
                <w:szCs w:val="26"/>
              </w:rPr>
              <w:t xml:space="preserve">hotărârilor de Guvern </w:t>
            </w:r>
            <w:r w:rsidRPr="0018134B">
              <w:rPr>
                <w:rFonts w:ascii="Times New Roman" w:hAnsi="Times New Roman"/>
                <w:bCs/>
                <w:sz w:val="26"/>
                <w:szCs w:val="26"/>
              </w:rPr>
              <w:t xml:space="preserve">sus-enumerate, rezultă din necesitatea soluționării constrângerilor legate de asigurarea rezilienței infrastructurii de gaze naturale, din cauza diversității formelor de proprietate asupra rețelelor de gaze naturale. </w:t>
            </w:r>
          </w:p>
          <w:p w14:paraId="59596E86" w14:textId="08ED9CC6" w:rsidR="002D55B7" w:rsidRPr="0018134B" w:rsidRDefault="006D3F83" w:rsidP="001215F9">
            <w:pPr>
              <w:tabs>
                <w:tab w:val="left" w:pos="709"/>
                <w:tab w:val="left" w:pos="884"/>
                <w:tab w:val="left" w:pos="1196"/>
              </w:tabs>
              <w:spacing w:after="120" w:line="240" w:lineRule="auto"/>
              <w:jc w:val="both"/>
              <w:rPr>
                <w:rFonts w:ascii="Times New Roman" w:hAnsi="Times New Roman"/>
                <w:sz w:val="26"/>
                <w:szCs w:val="26"/>
              </w:rPr>
            </w:pPr>
            <w:r w:rsidRPr="0018134B">
              <w:rPr>
                <w:rFonts w:ascii="Times New Roman" w:hAnsi="Times New Roman"/>
                <w:bCs/>
                <w:sz w:val="26"/>
                <w:szCs w:val="26"/>
              </w:rPr>
              <w:t xml:space="preserve">De notat, că </w:t>
            </w:r>
            <w:r w:rsidR="00A27164" w:rsidRPr="0018134B">
              <w:rPr>
                <w:rFonts w:ascii="Times New Roman" w:hAnsi="Times New Roman"/>
                <w:bCs/>
                <w:sz w:val="26"/>
                <w:szCs w:val="26"/>
              </w:rPr>
              <w:t>a</w:t>
            </w:r>
            <w:r w:rsidR="004B000C" w:rsidRPr="0018134B">
              <w:rPr>
                <w:rFonts w:ascii="Times New Roman" w:hAnsi="Times New Roman"/>
                <w:bCs/>
                <w:sz w:val="26"/>
                <w:szCs w:val="26"/>
              </w:rPr>
              <w:t xml:space="preserve">ctele normative care formează obiectul prezentului proiect, </w:t>
            </w:r>
            <w:r w:rsidR="00A47C33" w:rsidRPr="0018134B">
              <w:rPr>
                <w:rFonts w:ascii="Times New Roman" w:hAnsi="Times New Roman"/>
                <w:sz w:val="26"/>
                <w:szCs w:val="26"/>
              </w:rPr>
              <w:t xml:space="preserve">au avut drept </w:t>
            </w:r>
            <w:r w:rsidR="004B000C" w:rsidRPr="0018134B">
              <w:rPr>
                <w:rFonts w:ascii="Times New Roman" w:hAnsi="Times New Roman"/>
                <w:sz w:val="26"/>
                <w:szCs w:val="26"/>
              </w:rPr>
              <w:t xml:space="preserve">obiectiv dezvoltarea rețelelor de gaze în Republica Moldova în scopul asigurării accesului populației la rețelele de gaze naturale din zonele rurale și </w:t>
            </w:r>
            <w:r w:rsidR="00A47C33" w:rsidRPr="0018134B">
              <w:rPr>
                <w:rFonts w:ascii="Times New Roman" w:hAnsi="Times New Roman"/>
                <w:sz w:val="26"/>
                <w:szCs w:val="26"/>
              </w:rPr>
              <w:t xml:space="preserve">extinderea sistemului de alimentare cu gaze naturale în conformitate cu prevederile Strategiei energetice a Republicii Moldova </w:t>
            </w:r>
            <w:r w:rsidR="00A27164" w:rsidRPr="0018134B">
              <w:rPr>
                <w:rFonts w:ascii="Times New Roman" w:hAnsi="Times New Roman"/>
                <w:sz w:val="26"/>
                <w:szCs w:val="26"/>
              </w:rPr>
              <w:t>până</w:t>
            </w:r>
            <w:r w:rsidR="00A47C33" w:rsidRPr="0018134B">
              <w:rPr>
                <w:rFonts w:ascii="Times New Roman" w:hAnsi="Times New Roman"/>
                <w:sz w:val="26"/>
                <w:szCs w:val="26"/>
              </w:rPr>
              <w:t xml:space="preserve"> în anul 2010, aprobată prin </w:t>
            </w:r>
            <w:r w:rsidR="00A27164" w:rsidRPr="0018134B">
              <w:rPr>
                <w:rFonts w:ascii="Times New Roman" w:hAnsi="Times New Roman"/>
                <w:sz w:val="26"/>
                <w:szCs w:val="26"/>
              </w:rPr>
              <w:t>Hotărârea</w:t>
            </w:r>
            <w:r w:rsidR="00A47C33" w:rsidRPr="0018134B">
              <w:rPr>
                <w:rFonts w:ascii="Times New Roman" w:hAnsi="Times New Roman"/>
                <w:sz w:val="26"/>
                <w:szCs w:val="26"/>
              </w:rPr>
              <w:t xml:space="preserve"> Guvernului nr. 360/2000, </w:t>
            </w:r>
            <w:r w:rsidR="002B6FCB" w:rsidRPr="0018134B">
              <w:rPr>
                <w:rFonts w:ascii="Times New Roman" w:hAnsi="Times New Roman"/>
                <w:sz w:val="26"/>
                <w:szCs w:val="26"/>
              </w:rPr>
              <w:t>în condițiile în care până în</w:t>
            </w:r>
            <w:r w:rsidR="00A47C33" w:rsidRPr="0018134B">
              <w:rPr>
                <w:rFonts w:ascii="Times New Roman" w:hAnsi="Times New Roman"/>
                <w:sz w:val="26"/>
                <w:szCs w:val="26"/>
              </w:rPr>
              <w:t xml:space="preserve"> anul 2002 erau conectate la </w:t>
            </w:r>
            <w:r w:rsidR="00A27164" w:rsidRPr="0018134B">
              <w:rPr>
                <w:rFonts w:ascii="Times New Roman" w:hAnsi="Times New Roman"/>
                <w:sz w:val="26"/>
                <w:szCs w:val="26"/>
              </w:rPr>
              <w:t>rețeaua</w:t>
            </w:r>
            <w:r w:rsidR="00A47C33" w:rsidRPr="0018134B">
              <w:rPr>
                <w:rFonts w:ascii="Times New Roman" w:hAnsi="Times New Roman"/>
                <w:sz w:val="26"/>
                <w:szCs w:val="26"/>
              </w:rPr>
              <w:t xml:space="preserve"> de gaze naturale doar 278 </w:t>
            </w:r>
            <w:r w:rsidR="00A27164" w:rsidRPr="0018134B">
              <w:rPr>
                <w:rFonts w:ascii="Times New Roman" w:hAnsi="Times New Roman"/>
                <w:sz w:val="26"/>
                <w:szCs w:val="26"/>
              </w:rPr>
              <w:t>localități</w:t>
            </w:r>
            <w:r w:rsidR="00A47C33" w:rsidRPr="0018134B">
              <w:rPr>
                <w:rFonts w:ascii="Times New Roman" w:hAnsi="Times New Roman"/>
                <w:sz w:val="26"/>
                <w:szCs w:val="26"/>
              </w:rPr>
              <w:t>. </w:t>
            </w:r>
          </w:p>
          <w:p w14:paraId="0EC9915E" w14:textId="77777777" w:rsidR="002D55B7" w:rsidRPr="0018134B" w:rsidRDefault="002D55B7" w:rsidP="001215F9">
            <w:pPr>
              <w:tabs>
                <w:tab w:val="left" w:pos="709"/>
                <w:tab w:val="left" w:pos="884"/>
                <w:tab w:val="left" w:pos="1196"/>
              </w:tabs>
              <w:spacing w:after="120" w:line="240" w:lineRule="auto"/>
              <w:jc w:val="both"/>
              <w:rPr>
                <w:rFonts w:ascii="Times New Roman" w:hAnsi="Times New Roman"/>
                <w:sz w:val="26"/>
                <w:szCs w:val="26"/>
              </w:rPr>
            </w:pPr>
            <w:r w:rsidRPr="0018134B">
              <w:rPr>
                <w:rFonts w:ascii="Times New Roman" w:hAnsi="Times New Roman"/>
                <w:sz w:val="26"/>
                <w:szCs w:val="26"/>
              </w:rPr>
              <w:t xml:space="preserve">Astfel, începând cu anul 2002, în cadrul Programelor naţionale de gazificare sus-menționate, potrivit cărora autorităţile administraţiei publice centrale şi locale, în comun cu agenţii </w:t>
            </w:r>
            <w:r w:rsidRPr="0018134B">
              <w:rPr>
                <w:rFonts w:ascii="Times New Roman" w:hAnsi="Times New Roman"/>
                <w:sz w:val="26"/>
                <w:szCs w:val="26"/>
              </w:rPr>
              <w:lastRenderedPageBreak/>
              <w:t>economici din teritoriu şi consumatorii, trebuiau să întreprindă măsurile necesare pentru realizarea programelor respective. Finanţarea lucrărilor de construcție a rețelelor de gaze naturale și extinderea acestora în cadrul Programelor de gazificare s-a efectuat printr-un cumul de soluții și din câteva surse: contribuţia beneficiarilor persoane fizice și juridice din localitățile gazificate, alocări financiare din partea autorităţilor publice centrale, autorităților publice locale, granturi oferite de Fondul de Investiţii Sociale din Moldova (FISM) şi resurse ale donatorilor externi. Drept urmare, au fost construite rețele de gaze naturale, iar contribuția financiară a persoanelor fizice pentru construcția rețelelor de distribuție a gazelor naturale a variat în funcție de localitate.</w:t>
            </w:r>
          </w:p>
          <w:p w14:paraId="14A32F7A" w14:textId="77777777" w:rsidR="009D3ABB" w:rsidRPr="0018134B" w:rsidRDefault="009D3ABB" w:rsidP="001215F9">
            <w:pPr>
              <w:tabs>
                <w:tab w:val="left" w:pos="709"/>
                <w:tab w:val="left" w:pos="884"/>
                <w:tab w:val="left" w:pos="1196"/>
              </w:tabs>
              <w:spacing w:after="120" w:line="240" w:lineRule="auto"/>
              <w:jc w:val="both"/>
              <w:rPr>
                <w:rFonts w:ascii="Times New Roman" w:hAnsi="Times New Roman"/>
                <w:sz w:val="26"/>
                <w:szCs w:val="26"/>
              </w:rPr>
            </w:pPr>
            <w:r w:rsidRPr="0018134B">
              <w:rPr>
                <w:rFonts w:ascii="Times New Roman" w:hAnsi="Times New Roman"/>
                <w:sz w:val="26"/>
                <w:szCs w:val="26"/>
              </w:rPr>
              <w:t xml:space="preserve">Gazoductele respective urmau a fi transmise la balanţa autorităţilor locale ca urmare a punerii în funcțiune a acestora, în conformitate cu pct. 5 al Hotărârii Guvernului nr. 1643/2002, potrivit căruia: „Se stabileşte că, la construcţia gazoductelor şi altor obiecte de gazificare, finanţate de la bugetul de stat, Ministerul Energeticii va exercita funcţia de beneficiar unic. Gazoductele şi alte obiecte de gazificare, construite din contul bugetului de stat, vor fi transmise, în modul stabilit, la balanţa autorităţilor administraţiei publice locale corespunzătoare”. </w:t>
            </w:r>
          </w:p>
          <w:p w14:paraId="3568EE1A" w14:textId="750D2722" w:rsidR="009D3ABB" w:rsidRPr="0018134B" w:rsidRDefault="009D3ABB" w:rsidP="001215F9">
            <w:pPr>
              <w:tabs>
                <w:tab w:val="left" w:pos="709"/>
                <w:tab w:val="left" w:pos="884"/>
                <w:tab w:val="left" w:pos="1196"/>
              </w:tabs>
              <w:spacing w:after="120" w:line="240" w:lineRule="auto"/>
              <w:jc w:val="both"/>
              <w:rPr>
                <w:rFonts w:ascii="Times New Roman" w:hAnsi="Times New Roman"/>
                <w:sz w:val="26"/>
                <w:szCs w:val="26"/>
              </w:rPr>
            </w:pPr>
            <w:r w:rsidRPr="0018134B">
              <w:rPr>
                <w:rFonts w:ascii="Times New Roman" w:hAnsi="Times New Roman"/>
                <w:sz w:val="26"/>
                <w:szCs w:val="26"/>
              </w:rPr>
              <w:t xml:space="preserve">Astfel, o parte dintre rețelele de gaze naturale respective au fost luate la balanța autorităților publice locale, o altă parte rămânând în proprietatea persoanelor fizice și juridice din sursele cărora au fost construite. </w:t>
            </w:r>
          </w:p>
          <w:p w14:paraId="52F19F6D" w14:textId="77777777" w:rsidR="009D3ABB" w:rsidRPr="0018134B" w:rsidRDefault="009D3ABB" w:rsidP="001215F9">
            <w:pPr>
              <w:tabs>
                <w:tab w:val="left" w:pos="709"/>
                <w:tab w:val="left" w:pos="884"/>
                <w:tab w:val="left" w:pos="1196"/>
              </w:tabs>
              <w:spacing w:after="120" w:line="240" w:lineRule="auto"/>
              <w:jc w:val="both"/>
              <w:rPr>
                <w:rFonts w:ascii="Times New Roman" w:hAnsi="Times New Roman"/>
                <w:sz w:val="26"/>
                <w:szCs w:val="26"/>
              </w:rPr>
            </w:pPr>
            <w:r w:rsidRPr="0018134B">
              <w:rPr>
                <w:rFonts w:ascii="Times New Roman" w:hAnsi="Times New Roman"/>
                <w:sz w:val="26"/>
                <w:szCs w:val="26"/>
              </w:rPr>
              <w:t xml:space="preserve">Pornind de la cerințele cadrului legal, potrivit cărora exploatarea reţelelor poate fi efectuată doar de către o companie licenţiată de distribuţie a gazelor naturale, prin Hotărârea Guvernului nr. 1643/2002 s-a dispus ca autorităţile administraţiei publice locale şi alţi beneficiari să transmită, în bază de contract, gazoductele construite în gestiunea subdiviziunilor teritoriale ale Societăţii pe Acţiuni “Moldovagaz”, indiferent din care surse au fost construite acestea. Având în vedere că transmiterea reţelelor în gestiune economică către SA „Moldovagaz” nu s-a realizat, în anul 2004 Guvernul a identificat o altă soluţie, prin care autorităţile locale urmau să transmită la deservire tehnică gazoductele aflate la balanța acestora către subdiviziunile teritoriale ale SA „Moldovagaz”. În acest scop a fost adoptată Hotărârea Guvernului nr. 683/2004 despre aprobarea Regulamentului privind modul de transmitere a reţelelor de gaze întreprinderilor de gaze ale Societăţii pe Acţiuni "Moldovagaz" la deservire tehnică. Potrivit pct. 3 al Hotărârii menționate, autorităţile administraţiei publice locale şi alţi beneficiari vor lua la evidenţă contabilă, vor înregistra în organele cadastrale şi vor transmite toate reţelele de gaze la deservire tehnică, în bază de contract, întreprinderilor de gaze ale Societăţii pe Acţiuni "Moldovagaz". </w:t>
            </w:r>
          </w:p>
          <w:p w14:paraId="53984631" w14:textId="3A5A2034" w:rsidR="009D3ABB" w:rsidRPr="0018134B" w:rsidRDefault="009D3ABB" w:rsidP="001215F9">
            <w:pPr>
              <w:tabs>
                <w:tab w:val="left" w:pos="709"/>
                <w:tab w:val="left" w:pos="884"/>
                <w:tab w:val="left" w:pos="1196"/>
              </w:tabs>
              <w:spacing w:after="120" w:line="240" w:lineRule="auto"/>
              <w:jc w:val="both"/>
              <w:rPr>
                <w:rFonts w:ascii="Times New Roman" w:hAnsi="Times New Roman"/>
                <w:sz w:val="26"/>
                <w:szCs w:val="26"/>
              </w:rPr>
            </w:pPr>
            <w:r w:rsidRPr="0018134B">
              <w:rPr>
                <w:rFonts w:ascii="Times New Roman" w:hAnsi="Times New Roman"/>
                <w:sz w:val="26"/>
                <w:szCs w:val="26"/>
              </w:rPr>
              <w:t>Prin urmare, politicile respective de extindere a rețelelor de gaze naturale, au determinat o diversitate a formelor de proprietate asupra rețelelor de gaze naturale pe teritoriul Republicii Moldova. La situația din 31.12.2023, lungimea rețelelor gaze naturale de transport și de distribuție aflată în exploatare este de circa 27,8 mii km, dintre care se estimează că cca 15 980,7 km rețele nu sunt în proprietatea întreprinderilor de gaze naturale, iar cca 1126,4 km constituie gazoducte fără proprietar</w:t>
            </w:r>
            <w:r w:rsidRPr="0018134B">
              <w:rPr>
                <w:rFonts w:ascii="Times New Roman" w:hAnsi="Times New Roman"/>
                <w:sz w:val="26"/>
                <w:szCs w:val="26"/>
                <w:vertAlign w:val="superscript"/>
              </w:rPr>
              <w:footnoteReference w:id="1"/>
            </w:r>
            <w:r w:rsidRPr="0018134B">
              <w:rPr>
                <w:rFonts w:ascii="Times New Roman" w:hAnsi="Times New Roman"/>
                <w:sz w:val="26"/>
                <w:szCs w:val="26"/>
              </w:rPr>
              <w:t>. Totodată cca. 14 806,7 km aparțin terților persoane, fiind gestionate în baza contractelor de deservire tehnică și cca. 874 km sunt gestionate fără contracte</w:t>
            </w:r>
            <w:r w:rsidRPr="0018134B">
              <w:rPr>
                <w:rFonts w:ascii="Times New Roman" w:hAnsi="Times New Roman"/>
                <w:sz w:val="26"/>
                <w:szCs w:val="26"/>
                <w:vertAlign w:val="superscript"/>
              </w:rPr>
              <w:footnoteReference w:id="2"/>
            </w:r>
            <w:r w:rsidRPr="0018134B">
              <w:rPr>
                <w:rFonts w:ascii="Times New Roman" w:hAnsi="Times New Roman"/>
                <w:sz w:val="26"/>
                <w:szCs w:val="26"/>
              </w:rPr>
              <w:t xml:space="preserve">. </w:t>
            </w:r>
          </w:p>
          <w:p w14:paraId="24A096C5" w14:textId="71F54945" w:rsidR="002D55B7" w:rsidRPr="0018134B" w:rsidRDefault="002D55B7" w:rsidP="001215F9">
            <w:pPr>
              <w:tabs>
                <w:tab w:val="left" w:pos="709"/>
                <w:tab w:val="left" w:pos="884"/>
                <w:tab w:val="left" w:pos="1196"/>
              </w:tabs>
              <w:spacing w:after="120" w:line="240" w:lineRule="auto"/>
              <w:jc w:val="both"/>
              <w:rPr>
                <w:rFonts w:ascii="Times New Roman" w:hAnsi="Times New Roman"/>
                <w:sz w:val="26"/>
                <w:szCs w:val="26"/>
              </w:rPr>
            </w:pPr>
            <w:r w:rsidRPr="0018134B">
              <w:rPr>
                <w:rFonts w:ascii="Times New Roman" w:hAnsi="Times New Roman"/>
                <w:sz w:val="26"/>
                <w:szCs w:val="26"/>
              </w:rPr>
              <w:lastRenderedPageBreak/>
              <w:t xml:space="preserve">Rețelele din proprietatea publică, proprietatea privată şi fără proprietar sunt exploatate de operatorii sistemelor de transport şi de distribuţie a gazelor naturale în baza contractelor de deservire tehnică, încheiate în temeiul </w:t>
            </w:r>
            <w:bookmarkStart w:id="0" w:name="_Hlk191321303"/>
            <w:r w:rsidRPr="0018134B">
              <w:rPr>
                <w:rFonts w:ascii="Times New Roman" w:hAnsi="Times New Roman"/>
                <w:sz w:val="26"/>
                <w:szCs w:val="26"/>
              </w:rPr>
              <w:t>Regulamentului privind modul de transmitere a reţelelor de gaze întreprinderilor de gaze ale Societăţii pe Acţiuni „Moldovagaz” la deservire tehnică</w:t>
            </w:r>
            <w:bookmarkEnd w:id="0"/>
            <w:r w:rsidRPr="0018134B">
              <w:rPr>
                <w:rFonts w:ascii="Times New Roman" w:hAnsi="Times New Roman"/>
                <w:sz w:val="26"/>
                <w:szCs w:val="26"/>
              </w:rPr>
              <w:t>, aprobat prin Hotărârea Guvernului nr. 683/2004. Hotărârea în cauză prevede acoperirea prin tarif doar a cheltuielilor ce țin de deservirea tehnică a rețelelor de gaze, fără să includă lucrările necesare pentru renovarea reţelelor, schimbarea parametrilor şi caracteristicilor tehnice, efectuarea reparației capitale, schimbarea unor piese, ansambluri şi construcții uzate, sustrase sau ieșite din funcțiune în urma situațiilor de avariere sau altor cazuri care nu depind de întreprinderea de gaze.</w:t>
            </w:r>
            <w:r w:rsidR="008F4298" w:rsidRPr="0018134B">
              <w:rPr>
                <w:rStyle w:val="FootnoteReference"/>
                <w:rFonts w:ascii="Times New Roman" w:hAnsi="Times New Roman"/>
                <w:sz w:val="26"/>
                <w:szCs w:val="26"/>
              </w:rPr>
              <w:footnoteReference w:id="3"/>
            </w:r>
          </w:p>
          <w:p w14:paraId="6AB04527" w14:textId="45B8FFAA" w:rsidR="002B6FCB" w:rsidRPr="0018134B" w:rsidRDefault="003C6BF8" w:rsidP="001215F9">
            <w:pPr>
              <w:tabs>
                <w:tab w:val="left" w:pos="709"/>
                <w:tab w:val="left" w:pos="884"/>
                <w:tab w:val="left" w:pos="1196"/>
              </w:tabs>
              <w:spacing w:after="0" w:line="240" w:lineRule="auto"/>
              <w:jc w:val="both"/>
              <w:rPr>
                <w:rFonts w:ascii="Times New Roman" w:hAnsi="Times New Roman"/>
                <w:sz w:val="26"/>
                <w:szCs w:val="26"/>
              </w:rPr>
            </w:pPr>
            <w:r>
              <w:rPr>
                <w:rFonts w:ascii="Times New Roman" w:hAnsi="Times New Roman"/>
                <w:sz w:val="26"/>
                <w:szCs w:val="26"/>
              </w:rPr>
              <w:t xml:space="preserve">Întrucât </w:t>
            </w:r>
            <w:r w:rsidR="002D55B7" w:rsidRPr="0018134B">
              <w:rPr>
                <w:rFonts w:ascii="Times New Roman" w:hAnsi="Times New Roman"/>
                <w:sz w:val="26"/>
                <w:szCs w:val="26"/>
              </w:rPr>
              <w:t xml:space="preserve">Regulamentul aprobat prin Hotărârea Guvernului nr. 683/2004 obligă proprietarii – persoane terţe să suporte investiţiile în reţelele de gaze naturale, acest fapt creează o serie de probleme </w:t>
            </w:r>
            <w:r w:rsidR="002B6FCB" w:rsidRPr="0018134B">
              <w:rPr>
                <w:rFonts w:ascii="Times New Roman" w:hAnsi="Times New Roman"/>
                <w:sz w:val="26"/>
                <w:szCs w:val="26"/>
              </w:rPr>
              <w:t>legate de:</w:t>
            </w:r>
          </w:p>
          <w:p w14:paraId="44469692" w14:textId="17534126" w:rsidR="002B6FCB" w:rsidRPr="0018134B" w:rsidRDefault="002B6FCB" w:rsidP="001215F9">
            <w:pPr>
              <w:numPr>
                <w:ilvl w:val="0"/>
                <w:numId w:val="4"/>
              </w:numPr>
              <w:tabs>
                <w:tab w:val="left" w:pos="709"/>
                <w:tab w:val="left" w:pos="884"/>
                <w:tab w:val="left" w:pos="1196"/>
              </w:tabs>
              <w:spacing w:after="0" w:line="240" w:lineRule="auto"/>
              <w:jc w:val="both"/>
              <w:rPr>
                <w:rFonts w:ascii="Times New Roman" w:hAnsi="Times New Roman"/>
                <w:sz w:val="26"/>
                <w:szCs w:val="26"/>
              </w:rPr>
            </w:pPr>
            <w:r w:rsidRPr="0018134B">
              <w:rPr>
                <w:rFonts w:ascii="Times New Roman" w:hAnsi="Times New Roman"/>
                <w:sz w:val="26"/>
                <w:szCs w:val="26"/>
              </w:rPr>
              <w:t>asigurarea securității industriale: infrastructura de gaze naturale include în mare parte obiective industrial periculoase, care cad sub incidența Legii nr. 151/2022 privind funcţionarea în condiţii de siguranţă a obiectivelor industriale şi a instalaţiilor tehnice potenţial periculoase;</w:t>
            </w:r>
          </w:p>
          <w:p w14:paraId="630B4A1C" w14:textId="644768CA" w:rsidR="002B6FCB" w:rsidRPr="0018134B" w:rsidRDefault="002B6FCB" w:rsidP="001215F9">
            <w:pPr>
              <w:numPr>
                <w:ilvl w:val="0"/>
                <w:numId w:val="4"/>
              </w:numPr>
              <w:tabs>
                <w:tab w:val="left" w:pos="709"/>
                <w:tab w:val="left" w:pos="884"/>
                <w:tab w:val="left" w:pos="1196"/>
              </w:tabs>
              <w:spacing w:after="0" w:line="240" w:lineRule="auto"/>
              <w:jc w:val="both"/>
              <w:rPr>
                <w:rFonts w:ascii="Times New Roman" w:hAnsi="Times New Roman"/>
                <w:sz w:val="26"/>
                <w:szCs w:val="26"/>
              </w:rPr>
            </w:pPr>
            <w:r w:rsidRPr="0018134B">
              <w:rPr>
                <w:rFonts w:ascii="Times New Roman" w:hAnsi="Times New Roman"/>
                <w:sz w:val="26"/>
                <w:szCs w:val="26"/>
              </w:rPr>
              <w:t xml:space="preserve">provocări în asigurarea calității serviciilor de sistem pe porțiunile de rețele care aparțin terților sau fără de proprietar; </w:t>
            </w:r>
          </w:p>
          <w:p w14:paraId="432703AA" w14:textId="77777777" w:rsidR="002B6FCB" w:rsidRPr="0018134B" w:rsidRDefault="002B6FCB" w:rsidP="001215F9">
            <w:pPr>
              <w:numPr>
                <w:ilvl w:val="0"/>
                <w:numId w:val="4"/>
              </w:numPr>
              <w:tabs>
                <w:tab w:val="left" w:pos="709"/>
                <w:tab w:val="left" w:pos="884"/>
                <w:tab w:val="left" w:pos="1196"/>
              </w:tabs>
              <w:spacing w:after="0" w:line="240" w:lineRule="auto"/>
              <w:jc w:val="both"/>
              <w:rPr>
                <w:rFonts w:ascii="Times New Roman" w:hAnsi="Times New Roman"/>
                <w:sz w:val="26"/>
                <w:szCs w:val="26"/>
              </w:rPr>
            </w:pPr>
            <w:r w:rsidRPr="0018134B">
              <w:rPr>
                <w:rFonts w:ascii="Times New Roman" w:hAnsi="Times New Roman"/>
                <w:sz w:val="26"/>
                <w:szCs w:val="26"/>
              </w:rPr>
              <w:t>impedimente în asigurarea reducerii pierderilor şi a consumului tehnologic în reţelele de gaze naturale respective;</w:t>
            </w:r>
          </w:p>
          <w:p w14:paraId="4AC47563" w14:textId="77777777" w:rsidR="002B6FCB" w:rsidRPr="0018134B" w:rsidRDefault="002B6FCB" w:rsidP="001215F9">
            <w:pPr>
              <w:numPr>
                <w:ilvl w:val="0"/>
                <w:numId w:val="4"/>
              </w:numPr>
              <w:tabs>
                <w:tab w:val="left" w:pos="709"/>
                <w:tab w:val="left" w:pos="884"/>
                <w:tab w:val="left" w:pos="1196"/>
              </w:tabs>
              <w:spacing w:after="0" w:line="240" w:lineRule="auto"/>
              <w:jc w:val="both"/>
              <w:rPr>
                <w:rFonts w:ascii="Times New Roman" w:hAnsi="Times New Roman"/>
                <w:sz w:val="26"/>
                <w:szCs w:val="26"/>
              </w:rPr>
            </w:pPr>
            <w:r w:rsidRPr="0018134B">
              <w:rPr>
                <w:rFonts w:ascii="Times New Roman" w:hAnsi="Times New Roman"/>
                <w:sz w:val="26"/>
                <w:szCs w:val="26"/>
              </w:rPr>
              <w:t>imposibilitatea acumulării mijloacelor financiare pentru renovarea și dezvoltarea rețelelor respective;</w:t>
            </w:r>
          </w:p>
          <w:p w14:paraId="2F11F7FF" w14:textId="70AEE74F" w:rsidR="009D3ABB" w:rsidRPr="0018134B" w:rsidRDefault="002B6FCB" w:rsidP="001215F9">
            <w:pPr>
              <w:numPr>
                <w:ilvl w:val="0"/>
                <w:numId w:val="4"/>
              </w:numPr>
              <w:tabs>
                <w:tab w:val="left" w:pos="709"/>
                <w:tab w:val="left" w:pos="884"/>
                <w:tab w:val="left" w:pos="1196"/>
              </w:tabs>
              <w:spacing w:after="0" w:line="240" w:lineRule="auto"/>
              <w:jc w:val="both"/>
              <w:rPr>
                <w:rFonts w:ascii="Times New Roman" w:hAnsi="Times New Roman"/>
                <w:sz w:val="26"/>
                <w:szCs w:val="26"/>
              </w:rPr>
            </w:pPr>
            <w:r w:rsidRPr="0018134B">
              <w:rPr>
                <w:rFonts w:ascii="Times New Roman" w:hAnsi="Times New Roman"/>
                <w:sz w:val="26"/>
                <w:szCs w:val="26"/>
              </w:rPr>
              <w:t>imposibilitatea garantării accesului la rețea în cazul rețelelor de gaze naturale ce  aparțin terților.</w:t>
            </w:r>
          </w:p>
          <w:p w14:paraId="3E9EB8F6" w14:textId="4284D66D" w:rsidR="009D3ABB" w:rsidRPr="0018134B" w:rsidRDefault="009D3ABB" w:rsidP="001215F9">
            <w:pPr>
              <w:tabs>
                <w:tab w:val="left" w:pos="709"/>
                <w:tab w:val="left" w:pos="884"/>
                <w:tab w:val="left" w:pos="1196"/>
              </w:tabs>
              <w:spacing w:before="240" w:after="120" w:line="240" w:lineRule="auto"/>
              <w:jc w:val="both"/>
              <w:rPr>
                <w:rFonts w:ascii="Times New Roman" w:hAnsi="Times New Roman"/>
                <w:bCs/>
                <w:sz w:val="26"/>
                <w:szCs w:val="26"/>
              </w:rPr>
            </w:pPr>
            <w:r w:rsidRPr="0018134B">
              <w:rPr>
                <w:rFonts w:ascii="Times New Roman" w:hAnsi="Times New Roman"/>
                <w:bCs/>
                <w:sz w:val="26"/>
                <w:szCs w:val="26"/>
              </w:rPr>
              <w:t xml:space="preserve">Astfel, pentru a asigura reziliența infrastructurii de gaze naturale, care face parte din infrastructura critică a Republicii Moldova, operarea durabilă a rețelelor de transport și distribuție a gazelor naturale, reducerea pierderilor tehnologice, garantarea accesului consumatorilor la rețelele de gaze naturale și protejarea drepturilor utilizatorilor de sistem, este necesară stoparea practicilor de extindere a rețelelor de gaze naturale de către persoanele fizice și juridice care nu reprezintă operatori ai sistemelor de transport și de distribuție a gazelor naturale. Dezvoltarea rețelelor de gaze naturale fiind prerogativa exclusivă a operatorilor de sistem respectivi, care reprezintă titulari de licență pentru desfășurarea activităților de transport și distribuție a gazelor naturale, în conformitate cu exigențele Legii nr. 108/2016 cu privire la gazele naturale. </w:t>
            </w:r>
          </w:p>
        </w:tc>
      </w:tr>
      <w:tr w:rsidR="00D97A36" w:rsidRPr="0018134B" w14:paraId="047704E6" w14:textId="77777777" w:rsidTr="00F67277">
        <w:trPr>
          <w:trHeight w:val="331"/>
        </w:trPr>
        <w:tc>
          <w:tcPr>
            <w:tcW w:w="5000" w:type="pct"/>
            <w:shd w:val="clear" w:color="auto" w:fill="DEEAF6" w:themeFill="accent1" w:themeFillTint="33"/>
          </w:tcPr>
          <w:p w14:paraId="7D8578C4" w14:textId="77777777" w:rsidR="00D97A36" w:rsidRPr="0018134B" w:rsidRDefault="00D97A36" w:rsidP="001215F9">
            <w:pPr>
              <w:tabs>
                <w:tab w:val="left" w:pos="709"/>
                <w:tab w:val="left" w:pos="884"/>
                <w:tab w:val="left" w:pos="1196"/>
              </w:tabs>
              <w:spacing w:before="100" w:after="100" w:line="240" w:lineRule="auto"/>
              <w:jc w:val="both"/>
              <w:rPr>
                <w:rFonts w:ascii="Times New Roman" w:hAnsi="Times New Roman"/>
                <w:b/>
                <w:bCs/>
                <w:i/>
                <w:iCs/>
                <w:sz w:val="26"/>
                <w:szCs w:val="26"/>
              </w:rPr>
            </w:pPr>
            <w:r w:rsidRPr="0018134B">
              <w:rPr>
                <w:rFonts w:ascii="Times New Roman" w:hAnsi="Times New Roman"/>
                <w:b/>
                <w:bCs/>
                <w:sz w:val="26"/>
                <w:szCs w:val="26"/>
                <w:lang w:eastAsia="en-US"/>
              </w:rPr>
              <w:lastRenderedPageBreak/>
              <w:t>3. Obiectivele urmărite și soluțiile propuse</w:t>
            </w:r>
          </w:p>
        </w:tc>
      </w:tr>
      <w:tr w:rsidR="00D97A36" w:rsidRPr="0018134B" w14:paraId="25255D5E" w14:textId="77777777" w:rsidTr="00F67277">
        <w:trPr>
          <w:trHeight w:val="331"/>
        </w:trPr>
        <w:tc>
          <w:tcPr>
            <w:tcW w:w="5000" w:type="pct"/>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9271"/>
            </w:tblGrid>
            <w:tr w:rsidR="002A3D1A" w:rsidRPr="0018134B" w14:paraId="70BC884B" w14:textId="77777777" w:rsidTr="001274AE">
              <w:trPr>
                <w:trHeight w:val="125"/>
              </w:trPr>
              <w:tc>
                <w:tcPr>
                  <w:tcW w:w="0" w:type="auto"/>
                </w:tcPr>
                <w:p w14:paraId="7CDACB77" w14:textId="62102892" w:rsidR="002A3D1A" w:rsidRPr="0018134B" w:rsidRDefault="002A3D1A" w:rsidP="001215F9">
                  <w:pPr>
                    <w:tabs>
                      <w:tab w:val="left" w:pos="709"/>
                      <w:tab w:val="left" w:pos="884"/>
                      <w:tab w:val="left" w:pos="1196"/>
                    </w:tabs>
                    <w:spacing w:before="160" w:after="120" w:line="240" w:lineRule="auto"/>
                    <w:jc w:val="both"/>
                    <w:rPr>
                      <w:rFonts w:ascii="Times New Roman" w:hAnsi="Times New Roman"/>
                      <w:bCs/>
                      <w:i/>
                      <w:sz w:val="26"/>
                      <w:szCs w:val="26"/>
                      <w:lang w:eastAsia="en-US"/>
                    </w:rPr>
                  </w:pPr>
                  <w:r w:rsidRPr="0018134B">
                    <w:rPr>
                      <w:rFonts w:ascii="Times New Roman" w:hAnsi="Times New Roman"/>
                      <w:b/>
                      <w:bCs/>
                      <w:i/>
                      <w:sz w:val="26"/>
                      <w:szCs w:val="26"/>
                      <w:lang w:eastAsia="en-US"/>
                    </w:rPr>
                    <w:t xml:space="preserve">3.1. Obiectivele și principalele prevederi ale proiectului, evidențierea elementelor noi </w:t>
                  </w:r>
                </w:p>
              </w:tc>
            </w:tr>
          </w:tbl>
          <w:p w14:paraId="65038B3F" w14:textId="77777777" w:rsidR="000C092E" w:rsidRPr="0018134B" w:rsidRDefault="000C092E" w:rsidP="001215F9">
            <w:pPr>
              <w:tabs>
                <w:tab w:val="left" w:pos="709"/>
                <w:tab w:val="left" w:pos="884"/>
                <w:tab w:val="left" w:pos="1196"/>
              </w:tabs>
              <w:spacing w:after="120" w:line="240" w:lineRule="auto"/>
              <w:jc w:val="both"/>
              <w:rPr>
                <w:rFonts w:ascii="Times New Roman" w:hAnsi="Times New Roman"/>
                <w:bCs/>
                <w:sz w:val="26"/>
                <w:szCs w:val="26"/>
                <w:lang w:eastAsia="en-US"/>
              </w:rPr>
            </w:pPr>
            <w:r w:rsidRPr="0018134B">
              <w:rPr>
                <w:rFonts w:ascii="Times New Roman" w:hAnsi="Times New Roman"/>
                <w:bCs/>
                <w:sz w:val="26"/>
                <w:szCs w:val="26"/>
                <w:lang w:eastAsia="en-US"/>
              </w:rPr>
              <w:t>Obiectivele urmărite prin intermediul prezentului proiect constau în:</w:t>
            </w:r>
          </w:p>
          <w:p w14:paraId="5401E9B8" w14:textId="77777777" w:rsidR="000C092E" w:rsidRPr="0018134B" w:rsidRDefault="000C092E" w:rsidP="001215F9">
            <w:pPr>
              <w:tabs>
                <w:tab w:val="left" w:pos="709"/>
                <w:tab w:val="left" w:pos="884"/>
                <w:tab w:val="left" w:pos="1196"/>
              </w:tabs>
              <w:spacing w:after="120" w:line="240" w:lineRule="auto"/>
              <w:jc w:val="both"/>
              <w:rPr>
                <w:rFonts w:ascii="Times New Roman" w:hAnsi="Times New Roman"/>
                <w:bCs/>
                <w:sz w:val="26"/>
                <w:szCs w:val="26"/>
                <w:lang w:eastAsia="en-US"/>
              </w:rPr>
            </w:pPr>
            <w:r w:rsidRPr="0018134B">
              <w:rPr>
                <w:rFonts w:ascii="Times New Roman" w:hAnsi="Times New Roman"/>
                <w:bCs/>
                <w:sz w:val="26"/>
                <w:szCs w:val="26"/>
                <w:lang w:eastAsia="en-US"/>
              </w:rPr>
              <w:t xml:space="preserve">1) </w:t>
            </w:r>
            <w:r w:rsidR="000976C0" w:rsidRPr="0018134B">
              <w:rPr>
                <w:rFonts w:ascii="Times New Roman" w:hAnsi="Times New Roman"/>
                <w:bCs/>
                <w:sz w:val="26"/>
                <w:szCs w:val="26"/>
                <w:lang w:eastAsia="en-US"/>
              </w:rPr>
              <w:t>suprimarea actelor normative și politicile inaplicabile și/sau desuete;</w:t>
            </w:r>
          </w:p>
          <w:p w14:paraId="68701F05" w14:textId="77777777" w:rsidR="006D1F53" w:rsidRPr="0018134B" w:rsidRDefault="000C092E" w:rsidP="001215F9">
            <w:pPr>
              <w:tabs>
                <w:tab w:val="left" w:pos="709"/>
                <w:tab w:val="left" w:pos="884"/>
                <w:tab w:val="left" w:pos="1196"/>
              </w:tabs>
              <w:spacing w:after="120" w:line="240" w:lineRule="auto"/>
              <w:jc w:val="both"/>
              <w:rPr>
                <w:rFonts w:ascii="Times New Roman" w:hAnsi="Times New Roman"/>
                <w:bCs/>
                <w:sz w:val="26"/>
                <w:szCs w:val="26"/>
                <w:lang w:eastAsia="en-US"/>
              </w:rPr>
            </w:pPr>
            <w:r w:rsidRPr="0018134B">
              <w:rPr>
                <w:rFonts w:ascii="Times New Roman" w:hAnsi="Times New Roman"/>
                <w:bCs/>
                <w:sz w:val="26"/>
                <w:szCs w:val="26"/>
                <w:lang w:eastAsia="en-US"/>
              </w:rPr>
              <w:lastRenderedPageBreak/>
              <w:t>2)</w:t>
            </w:r>
            <w:r w:rsidR="000976C0" w:rsidRPr="0018134B">
              <w:rPr>
                <w:rFonts w:ascii="Times New Roman" w:hAnsi="Times New Roman"/>
                <w:bCs/>
                <w:sz w:val="26"/>
                <w:szCs w:val="26"/>
                <w:lang w:eastAsia="en-US"/>
              </w:rPr>
              <w:t xml:space="preserve"> excluderea reglementărilor care perpetuează provocările și constrângerile legate de diversitatea formelor de proprietate asupra rețelelor de gaze naturale. </w:t>
            </w:r>
          </w:p>
          <w:p w14:paraId="6B9AD27B" w14:textId="62CA4652" w:rsidR="00F67277" w:rsidRPr="0018134B" w:rsidRDefault="007C51A2" w:rsidP="001215F9">
            <w:pPr>
              <w:pStyle w:val="Default"/>
              <w:jc w:val="both"/>
              <w:rPr>
                <w:sz w:val="26"/>
                <w:szCs w:val="26"/>
                <w:lang w:val="es-ES"/>
              </w:rPr>
            </w:pPr>
            <w:r w:rsidRPr="0018134B">
              <w:rPr>
                <w:bCs/>
                <w:sz w:val="26"/>
                <w:szCs w:val="26"/>
                <w:lang w:val="ro-RO"/>
              </w:rPr>
              <w:t>Astfel, în scopul suprimării</w:t>
            </w:r>
            <w:r w:rsidR="00F67277" w:rsidRPr="0018134B">
              <w:rPr>
                <w:bCs/>
                <w:sz w:val="26"/>
                <w:szCs w:val="26"/>
                <w:lang w:val="ro-RO"/>
              </w:rPr>
              <w:t xml:space="preserve"> prevederilor</w:t>
            </w:r>
            <w:r w:rsidRPr="0018134B">
              <w:rPr>
                <w:bCs/>
                <w:sz w:val="26"/>
                <w:szCs w:val="26"/>
                <w:lang w:val="ro-RO"/>
              </w:rPr>
              <w:t xml:space="preserve"> normative și politicilor inaplicabile și/sau desuete, prezentul proiect prevede abrogarea</w:t>
            </w:r>
            <w:r w:rsidR="000F5AB9" w:rsidRPr="0018134B">
              <w:rPr>
                <w:bCs/>
                <w:sz w:val="26"/>
                <w:szCs w:val="26"/>
                <w:lang w:val="ro-RO"/>
              </w:rPr>
              <w:t>:</w:t>
            </w:r>
          </w:p>
          <w:p w14:paraId="71A95BA7" w14:textId="6A5ACA7C" w:rsidR="007407B7" w:rsidRPr="0018134B" w:rsidRDefault="007407B7" w:rsidP="001215F9">
            <w:pPr>
              <w:numPr>
                <w:ilvl w:val="0"/>
                <w:numId w:val="4"/>
              </w:numPr>
              <w:tabs>
                <w:tab w:val="left" w:pos="709"/>
                <w:tab w:val="left" w:pos="884"/>
                <w:tab w:val="left" w:pos="1196"/>
              </w:tabs>
              <w:spacing w:before="160" w:after="120" w:line="240" w:lineRule="auto"/>
              <w:jc w:val="both"/>
              <w:rPr>
                <w:rFonts w:ascii="Times New Roman" w:hAnsi="Times New Roman"/>
                <w:bCs/>
                <w:sz w:val="26"/>
                <w:szCs w:val="26"/>
                <w:lang w:eastAsia="en-US"/>
              </w:rPr>
            </w:pPr>
            <w:r w:rsidRPr="0018134B">
              <w:rPr>
                <w:rFonts w:ascii="Times New Roman" w:hAnsi="Times New Roman"/>
                <w:bCs/>
                <w:sz w:val="26"/>
                <w:szCs w:val="26"/>
                <w:lang w:eastAsia="en-US"/>
              </w:rPr>
              <w:t>Hotărâr</w:t>
            </w:r>
            <w:r w:rsidR="007C51A2" w:rsidRPr="0018134B">
              <w:rPr>
                <w:rFonts w:ascii="Times New Roman" w:hAnsi="Times New Roman"/>
                <w:bCs/>
                <w:sz w:val="26"/>
                <w:szCs w:val="26"/>
                <w:lang w:eastAsia="en-US"/>
              </w:rPr>
              <w:t>ii</w:t>
            </w:r>
            <w:r w:rsidRPr="0018134B">
              <w:rPr>
                <w:rFonts w:ascii="Times New Roman" w:hAnsi="Times New Roman"/>
                <w:bCs/>
                <w:sz w:val="26"/>
                <w:szCs w:val="26"/>
                <w:lang w:eastAsia="en-US"/>
              </w:rPr>
              <w:t xml:space="preserve"> Guvernului nr.1643/2002 cu privire la aprobarea Programului național de gazificare a Republicii Moldova;</w:t>
            </w:r>
          </w:p>
          <w:p w14:paraId="0A606DA3" w14:textId="69D2DF03" w:rsidR="007407B7" w:rsidRPr="0018134B" w:rsidRDefault="007407B7" w:rsidP="001215F9">
            <w:pPr>
              <w:numPr>
                <w:ilvl w:val="0"/>
                <w:numId w:val="4"/>
              </w:numPr>
              <w:tabs>
                <w:tab w:val="left" w:pos="709"/>
                <w:tab w:val="left" w:pos="884"/>
                <w:tab w:val="left" w:pos="1196"/>
              </w:tabs>
              <w:spacing w:before="160" w:after="120" w:line="240" w:lineRule="auto"/>
              <w:jc w:val="both"/>
              <w:rPr>
                <w:rFonts w:ascii="Times New Roman" w:hAnsi="Times New Roman"/>
                <w:bCs/>
                <w:sz w:val="26"/>
                <w:szCs w:val="26"/>
                <w:lang w:eastAsia="en-US"/>
              </w:rPr>
            </w:pPr>
            <w:r w:rsidRPr="0018134B">
              <w:rPr>
                <w:rFonts w:ascii="Times New Roman" w:hAnsi="Times New Roman"/>
                <w:bCs/>
                <w:sz w:val="26"/>
                <w:szCs w:val="26"/>
                <w:lang w:eastAsia="en-US"/>
              </w:rPr>
              <w:t>Hotărâr</w:t>
            </w:r>
            <w:r w:rsidR="007C51A2" w:rsidRPr="0018134B">
              <w:rPr>
                <w:rFonts w:ascii="Times New Roman" w:hAnsi="Times New Roman"/>
                <w:bCs/>
                <w:sz w:val="26"/>
                <w:szCs w:val="26"/>
                <w:lang w:eastAsia="en-US"/>
              </w:rPr>
              <w:t>ii</w:t>
            </w:r>
            <w:r w:rsidRPr="0018134B">
              <w:rPr>
                <w:rFonts w:ascii="Times New Roman" w:hAnsi="Times New Roman"/>
                <w:bCs/>
                <w:sz w:val="26"/>
                <w:szCs w:val="26"/>
                <w:lang w:eastAsia="en-US"/>
              </w:rPr>
              <w:t xml:space="preserve"> Guvernului nr. 1226/2002 cu privire la aprobarea Regulamentului de organizare şi executare a lucrărilor de proiectare, montare şi recepţie a siste</w:t>
            </w:r>
            <w:r w:rsidR="00531042" w:rsidRPr="0018134B">
              <w:rPr>
                <w:rFonts w:ascii="Times New Roman" w:hAnsi="Times New Roman"/>
                <w:bCs/>
                <w:sz w:val="26"/>
                <w:szCs w:val="26"/>
                <w:lang w:eastAsia="en-US"/>
              </w:rPr>
              <w:t>melor de aprovizionare cu gaze</w:t>
            </w:r>
            <w:r w:rsidRPr="0018134B">
              <w:rPr>
                <w:rFonts w:ascii="Times New Roman" w:hAnsi="Times New Roman"/>
                <w:bCs/>
                <w:sz w:val="26"/>
                <w:szCs w:val="26"/>
                <w:lang w:eastAsia="en-US"/>
              </w:rPr>
              <w:t xml:space="preserve">; </w:t>
            </w:r>
          </w:p>
          <w:p w14:paraId="1FD9D7CB" w14:textId="771A9E74" w:rsidR="007407B7" w:rsidRPr="0018134B" w:rsidRDefault="007407B7" w:rsidP="001215F9">
            <w:pPr>
              <w:numPr>
                <w:ilvl w:val="0"/>
                <w:numId w:val="4"/>
              </w:numPr>
              <w:tabs>
                <w:tab w:val="left" w:pos="709"/>
                <w:tab w:val="left" w:pos="884"/>
                <w:tab w:val="left" w:pos="1196"/>
              </w:tabs>
              <w:spacing w:before="160" w:after="120" w:line="240" w:lineRule="auto"/>
              <w:jc w:val="both"/>
              <w:rPr>
                <w:rFonts w:ascii="Times New Roman" w:hAnsi="Times New Roman"/>
                <w:bCs/>
                <w:sz w:val="26"/>
                <w:szCs w:val="26"/>
                <w:lang w:eastAsia="en-US"/>
              </w:rPr>
            </w:pPr>
            <w:r w:rsidRPr="0018134B">
              <w:rPr>
                <w:rFonts w:ascii="Times New Roman" w:hAnsi="Times New Roman"/>
                <w:noProof/>
                <w:sz w:val="26"/>
                <w:szCs w:val="26"/>
              </w:rPr>
              <w:t>Hotărâr</w:t>
            </w:r>
            <w:r w:rsidR="007C51A2" w:rsidRPr="0018134B">
              <w:rPr>
                <w:rFonts w:ascii="Times New Roman" w:hAnsi="Times New Roman"/>
                <w:noProof/>
                <w:sz w:val="26"/>
                <w:szCs w:val="26"/>
              </w:rPr>
              <w:t>ii</w:t>
            </w:r>
            <w:r w:rsidRPr="0018134B">
              <w:rPr>
                <w:rFonts w:ascii="Times New Roman" w:hAnsi="Times New Roman"/>
                <w:noProof/>
                <w:sz w:val="26"/>
                <w:szCs w:val="26"/>
              </w:rPr>
              <w:t xml:space="preserve"> Guvernului nr. 268/2005 cu privire la aprobarea Modului de formare a preţurilor pentru proiectarea şi construcţia sistemelor de alimentare cu gaze naturale şi apă potabilă;</w:t>
            </w:r>
          </w:p>
          <w:p w14:paraId="3CA8D5AE" w14:textId="4B7DB67C" w:rsidR="007407B7" w:rsidRPr="0018134B" w:rsidRDefault="007407B7" w:rsidP="001215F9">
            <w:pPr>
              <w:numPr>
                <w:ilvl w:val="0"/>
                <w:numId w:val="4"/>
              </w:numPr>
              <w:tabs>
                <w:tab w:val="left" w:pos="709"/>
                <w:tab w:val="left" w:pos="884"/>
                <w:tab w:val="left" w:pos="1196"/>
              </w:tabs>
              <w:spacing w:before="160" w:after="120" w:line="240" w:lineRule="auto"/>
              <w:jc w:val="both"/>
              <w:rPr>
                <w:rFonts w:ascii="Times New Roman" w:hAnsi="Times New Roman"/>
                <w:bCs/>
                <w:sz w:val="26"/>
                <w:szCs w:val="26"/>
                <w:lang w:eastAsia="en-US"/>
              </w:rPr>
            </w:pPr>
            <w:r w:rsidRPr="0018134B">
              <w:rPr>
                <w:rFonts w:ascii="Times New Roman" w:hAnsi="Times New Roman"/>
                <w:bCs/>
                <w:sz w:val="26"/>
                <w:szCs w:val="26"/>
                <w:lang w:eastAsia="en-US"/>
              </w:rPr>
              <w:t>Hotărâr</w:t>
            </w:r>
            <w:r w:rsidR="007C51A2" w:rsidRPr="0018134B">
              <w:rPr>
                <w:rFonts w:ascii="Times New Roman" w:hAnsi="Times New Roman"/>
                <w:bCs/>
                <w:sz w:val="26"/>
                <w:szCs w:val="26"/>
                <w:lang w:eastAsia="en-US"/>
              </w:rPr>
              <w:t>ii</w:t>
            </w:r>
            <w:r w:rsidRPr="0018134B">
              <w:rPr>
                <w:rFonts w:ascii="Times New Roman" w:hAnsi="Times New Roman"/>
                <w:bCs/>
                <w:sz w:val="26"/>
                <w:szCs w:val="26"/>
                <w:lang w:eastAsia="en-US"/>
              </w:rPr>
              <w:t xml:space="preserve"> Guvernului nr. 123/2007 cu privire la aprobarea Instrucţiunilor metodice privind implementarea Modului de formare a preţurilor pentru proiectarea şi construcţia sistemelor de alimentare cu gaze naturale şi apă potabilă;</w:t>
            </w:r>
          </w:p>
          <w:p w14:paraId="341A376C" w14:textId="613E46B4" w:rsidR="007407B7" w:rsidRPr="0018134B" w:rsidRDefault="007407B7" w:rsidP="001215F9">
            <w:pPr>
              <w:numPr>
                <w:ilvl w:val="0"/>
                <w:numId w:val="4"/>
              </w:numPr>
              <w:tabs>
                <w:tab w:val="left" w:pos="709"/>
                <w:tab w:val="left" w:pos="884"/>
                <w:tab w:val="left" w:pos="1196"/>
              </w:tabs>
              <w:spacing w:before="160" w:after="120" w:line="240" w:lineRule="auto"/>
              <w:jc w:val="both"/>
              <w:rPr>
                <w:rFonts w:ascii="Times New Roman" w:hAnsi="Times New Roman"/>
                <w:bCs/>
                <w:sz w:val="26"/>
                <w:szCs w:val="26"/>
                <w:lang w:eastAsia="en-US"/>
              </w:rPr>
            </w:pPr>
            <w:r w:rsidRPr="0018134B">
              <w:rPr>
                <w:rFonts w:ascii="Times New Roman" w:hAnsi="Times New Roman"/>
                <w:bCs/>
                <w:sz w:val="26"/>
                <w:szCs w:val="26"/>
                <w:lang w:eastAsia="en-US"/>
              </w:rPr>
              <w:t>Hotărâr</w:t>
            </w:r>
            <w:r w:rsidR="007C51A2" w:rsidRPr="0018134B">
              <w:rPr>
                <w:rFonts w:ascii="Times New Roman" w:hAnsi="Times New Roman"/>
                <w:bCs/>
                <w:sz w:val="26"/>
                <w:szCs w:val="26"/>
                <w:lang w:eastAsia="en-US"/>
              </w:rPr>
              <w:t>ii</w:t>
            </w:r>
            <w:r w:rsidRPr="0018134B">
              <w:rPr>
                <w:rFonts w:ascii="Times New Roman" w:hAnsi="Times New Roman"/>
                <w:bCs/>
                <w:sz w:val="26"/>
                <w:szCs w:val="26"/>
                <w:lang w:eastAsia="en-US"/>
              </w:rPr>
              <w:t xml:space="preserve"> Guvernului nr. 715/2008 cu privire la măsurile de accelerare a procesului de gazificare internă a localităților;</w:t>
            </w:r>
          </w:p>
          <w:p w14:paraId="75B3586B" w14:textId="0AE8E8FE" w:rsidR="007407B7" w:rsidRPr="0018134B" w:rsidRDefault="00E3032F" w:rsidP="001215F9">
            <w:pPr>
              <w:tabs>
                <w:tab w:val="left" w:pos="709"/>
                <w:tab w:val="left" w:pos="884"/>
                <w:tab w:val="left" w:pos="1196"/>
              </w:tabs>
              <w:spacing w:before="160" w:after="120" w:line="240" w:lineRule="auto"/>
              <w:jc w:val="both"/>
              <w:rPr>
                <w:rFonts w:ascii="Times New Roman" w:hAnsi="Times New Roman"/>
                <w:bCs/>
                <w:sz w:val="26"/>
                <w:szCs w:val="26"/>
                <w:lang w:eastAsia="en-US"/>
              </w:rPr>
            </w:pPr>
            <w:r w:rsidRPr="0018134B">
              <w:rPr>
                <w:rFonts w:ascii="Times New Roman" w:hAnsi="Times New Roman"/>
                <w:bCs/>
                <w:sz w:val="26"/>
                <w:szCs w:val="26"/>
                <w:lang w:eastAsia="en-US"/>
              </w:rPr>
              <w:t xml:space="preserve">2) </w:t>
            </w:r>
            <w:r w:rsidR="003C6BF8">
              <w:rPr>
                <w:rFonts w:ascii="Times New Roman" w:hAnsi="Times New Roman"/>
                <w:bCs/>
                <w:sz w:val="26"/>
                <w:szCs w:val="26"/>
                <w:lang w:eastAsia="en-US"/>
              </w:rPr>
              <w:t>Obiectivul ce vizează e</w:t>
            </w:r>
            <w:r w:rsidRPr="0018134B">
              <w:rPr>
                <w:rFonts w:ascii="Times New Roman" w:hAnsi="Times New Roman"/>
                <w:bCs/>
                <w:sz w:val="26"/>
                <w:szCs w:val="26"/>
                <w:lang w:eastAsia="en-US"/>
              </w:rPr>
              <w:t>xcluderea reglementărilor care perpetuează provocările și constrângerile legate de diversitatea formelor de proprietate asu</w:t>
            </w:r>
            <w:r w:rsidR="00E90B32" w:rsidRPr="0018134B">
              <w:rPr>
                <w:rFonts w:ascii="Times New Roman" w:hAnsi="Times New Roman"/>
                <w:bCs/>
                <w:sz w:val="26"/>
                <w:szCs w:val="26"/>
                <w:lang w:eastAsia="en-US"/>
              </w:rPr>
              <w:t>pra rețelelor de gaze naturale și creează impedimente în asigurarea rezilienței infrastructurii de gaze</w:t>
            </w:r>
            <w:r w:rsidR="003C6BF8">
              <w:rPr>
                <w:rFonts w:ascii="Times New Roman" w:hAnsi="Times New Roman"/>
                <w:bCs/>
                <w:sz w:val="26"/>
                <w:szCs w:val="26"/>
                <w:lang w:eastAsia="en-US"/>
              </w:rPr>
              <w:t xml:space="preserve"> naturale, este asigurat în mare parte prin intervenția abrogării hotărârilor de Guvern r</w:t>
            </w:r>
            <w:r w:rsidR="004C30AE">
              <w:rPr>
                <w:rFonts w:ascii="Times New Roman" w:hAnsi="Times New Roman"/>
                <w:bCs/>
                <w:sz w:val="26"/>
                <w:szCs w:val="26"/>
                <w:lang w:eastAsia="en-US"/>
              </w:rPr>
              <w:t xml:space="preserve">espective. </w:t>
            </w:r>
            <w:r w:rsidR="003C6BF8">
              <w:rPr>
                <w:rFonts w:ascii="Times New Roman" w:hAnsi="Times New Roman"/>
                <w:bCs/>
                <w:sz w:val="26"/>
                <w:szCs w:val="26"/>
                <w:lang w:eastAsia="en-US"/>
              </w:rPr>
              <w:t xml:space="preserve"> </w:t>
            </w:r>
          </w:p>
          <w:p w14:paraId="51E6C21A" w14:textId="3FE6CD6A" w:rsidR="00D97A36" w:rsidRPr="0018134B" w:rsidRDefault="004C30AE" w:rsidP="001215F9">
            <w:pPr>
              <w:tabs>
                <w:tab w:val="left" w:pos="709"/>
                <w:tab w:val="left" w:pos="884"/>
                <w:tab w:val="left" w:pos="1196"/>
              </w:tabs>
              <w:spacing w:before="160" w:after="120" w:line="240" w:lineRule="auto"/>
              <w:jc w:val="both"/>
              <w:rPr>
                <w:rFonts w:ascii="Times New Roman" w:hAnsi="Times New Roman"/>
                <w:bCs/>
                <w:sz w:val="26"/>
                <w:szCs w:val="26"/>
                <w:lang w:eastAsia="en-US"/>
              </w:rPr>
            </w:pPr>
            <w:r>
              <w:rPr>
                <w:rFonts w:ascii="Times New Roman" w:hAnsi="Times New Roman"/>
                <w:bCs/>
                <w:sz w:val="26"/>
                <w:szCs w:val="26"/>
                <w:lang w:eastAsia="en-US"/>
              </w:rPr>
              <w:t>Totodată, e</w:t>
            </w:r>
            <w:r w:rsidR="00C47FB8" w:rsidRPr="0018134B">
              <w:rPr>
                <w:rFonts w:ascii="Times New Roman" w:hAnsi="Times New Roman"/>
                <w:bCs/>
                <w:sz w:val="26"/>
                <w:szCs w:val="26"/>
                <w:lang w:eastAsia="en-US"/>
              </w:rPr>
              <w:t>ventuale situații neprevăzute de Legea nr. 1208/2016 cu privire la gazele naturale și de cadrul normativ subordonat acesteia, sau situații care survin în timp, urmează a fi soluționate prisma modificărilor</w:t>
            </w:r>
            <w:r w:rsidR="002A41CC" w:rsidRPr="0018134B">
              <w:rPr>
                <w:rFonts w:ascii="Times New Roman" w:hAnsi="Times New Roman"/>
                <w:bCs/>
                <w:sz w:val="26"/>
                <w:szCs w:val="26"/>
                <w:lang w:eastAsia="en-US"/>
              </w:rPr>
              <w:t xml:space="preserve"> actelor</w:t>
            </w:r>
            <w:r w:rsidR="00C47FB8" w:rsidRPr="0018134B">
              <w:rPr>
                <w:rFonts w:ascii="Times New Roman" w:hAnsi="Times New Roman"/>
                <w:bCs/>
                <w:sz w:val="26"/>
                <w:szCs w:val="26"/>
                <w:lang w:eastAsia="en-US"/>
              </w:rPr>
              <w:t xml:space="preserve"> </w:t>
            </w:r>
            <w:r w:rsidR="002A41CC" w:rsidRPr="0018134B">
              <w:rPr>
                <w:rFonts w:ascii="Times New Roman" w:hAnsi="Times New Roman"/>
                <w:bCs/>
                <w:sz w:val="26"/>
                <w:szCs w:val="26"/>
                <w:lang w:eastAsia="en-US"/>
              </w:rPr>
              <w:t>normative respective.</w:t>
            </w:r>
            <w:r w:rsidR="000532A4" w:rsidRPr="0018134B">
              <w:rPr>
                <w:rFonts w:ascii="Times New Roman" w:hAnsi="Times New Roman"/>
                <w:bCs/>
                <w:sz w:val="26"/>
                <w:szCs w:val="26"/>
                <w:lang w:eastAsia="en-US"/>
              </w:rPr>
              <w:t xml:space="preserve"> Astfel</w:t>
            </w:r>
            <w:r w:rsidR="002A41CC" w:rsidRPr="0018134B">
              <w:rPr>
                <w:rFonts w:ascii="Times New Roman" w:hAnsi="Times New Roman"/>
                <w:bCs/>
                <w:sz w:val="26"/>
                <w:szCs w:val="26"/>
                <w:lang w:eastAsia="en-US"/>
              </w:rPr>
              <w:t>,</w:t>
            </w:r>
            <w:r w:rsidR="006D1F53" w:rsidRPr="0018134B">
              <w:rPr>
                <w:rFonts w:ascii="Times New Roman" w:hAnsi="Times New Roman"/>
                <w:bCs/>
                <w:sz w:val="26"/>
                <w:szCs w:val="26"/>
                <w:lang w:eastAsia="en-US"/>
              </w:rPr>
              <w:t xml:space="preserve"> </w:t>
            </w:r>
            <w:r w:rsidR="000532A4" w:rsidRPr="0018134B">
              <w:rPr>
                <w:rFonts w:ascii="Times New Roman" w:hAnsi="Times New Roman"/>
                <w:bCs/>
                <w:sz w:val="26"/>
                <w:szCs w:val="26"/>
                <w:lang w:eastAsia="en-US"/>
              </w:rPr>
              <w:t xml:space="preserve">reglementarea </w:t>
            </w:r>
            <w:r w:rsidR="006D1F53" w:rsidRPr="0018134B">
              <w:rPr>
                <w:rFonts w:ascii="Times New Roman" w:hAnsi="Times New Roman"/>
                <w:bCs/>
                <w:sz w:val="26"/>
                <w:szCs w:val="26"/>
                <w:lang w:eastAsia="en-US"/>
              </w:rPr>
              <w:t>cazu</w:t>
            </w:r>
            <w:r w:rsidR="000532A4" w:rsidRPr="0018134B">
              <w:rPr>
                <w:rFonts w:ascii="Times New Roman" w:hAnsi="Times New Roman"/>
                <w:bCs/>
                <w:sz w:val="26"/>
                <w:szCs w:val="26"/>
                <w:lang w:eastAsia="en-US"/>
              </w:rPr>
              <w:t>rilor</w:t>
            </w:r>
            <w:r w:rsidR="006D1F53" w:rsidRPr="0018134B">
              <w:rPr>
                <w:rFonts w:ascii="Times New Roman" w:hAnsi="Times New Roman"/>
                <w:bCs/>
                <w:sz w:val="26"/>
                <w:szCs w:val="26"/>
                <w:lang w:eastAsia="en-US"/>
              </w:rPr>
              <w:t xml:space="preserve"> </w:t>
            </w:r>
            <w:r w:rsidR="000532A4" w:rsidRPr="0018134B">
              <w:rPr>
                <w:rFonts w:ascii="Times New Roman" w:hAnsi="Times New Roman"/>
                <w:bCs/>
                <w:sz w:val="26"/>
                <w:szCs w:val="26"/>
                <w:lang w:eastAsia="en-US"/>
              </w:rPr>
              <w:t>în care anumite localități</w:t>
            </w:r>
            <w:r w:rsidR="006D1F53" w:rsidRPr="0018134B">
              <w:rPr>
                <w:rFonts w:ascii="Times New Roman" w:hAnsi="Times New Roman"/>
                <w:bCs/>
                <w:sz w:val="26"/>
                <w:szCs w:val="26"/>
                <w:lang w:eastAsia="en-US"/>
              </w:rPr>
              <w:t xml:space="preserve"> sau regiuni, din cauza unui număr redus de potențiali consumatori de gaze naturale, costurile de construire, ulterioarele </w:t>
            </w:r>
            <w:r w:rsidR="000532A4" w:rsidRPr="0018134B">
              <w:rPr>
                <w:rFonts w:ascii="Times New Roman" w:hAnsi="Times New Roman"/>
                <w:bCs/>
                <w:sz w:val="26"/>
                <w:szCs w:val="26"/>
                <w:lang w:eastAsia="en-US"/>
              </w:rPr>
              <w:t>cheltuieli</w:t>
            </w:r>
            <w:r w:rsidR="006D1F53" w:rsidRPr="0018134B">
              <w:rPr>
                <w:rFonts w:ascii="Times New Roman" w:hAnsi="Times New Roman"/>
                <w:bCs/>
                <w:sz w:val="26"/>
                <w:szCs w:val="26"/>
                <w:lang w:eastAsia="en-US"/>
              </w:rPr>
              <w:t xml:space="preserve"> de operare și mentenanță a rețelelor</w:t>
            </w:r>
            <w:r w:rsidR="000532A4" w:rsidRPr="0018134B">
              <w:rPr>
                <w:rFonts w:ascii="Times New Roman" w:hAnsi="Times New Roman"/>
                <w:bCs/>
                <w:sz w:val="26"/>
                <w:szCs w:val="26"/>
                <w:lang w:eastAsia="en-US"/>
              </w:rPr>
              <w:t>,</w:t>
            </w:r>
            <w:r w:rsidR="006D1F53" w:rsidRPr="0018134B">
              <w:rPr>
                <w:rFonts w:ascii="Times New Roman" w:hAnsi="Times New Roman"/>
                <w:bCs/>
                <w:sz w:val="26"/>
                <w:szCs w:val="26"/>
                <w:lang w:eastAsia="en-US"/>
              </w:rPr>
              <w:t xml:space="preserve"> denotă o rentabilitate negativă a proiectelor investiționale respective</w:t>
            </w:r>
            <w:r w:rsidR="002A41CC" w:rsidRPr="0018134B">
              <w:rPr>
                <w:rFonts w:ascii="Times New Roman" w:hAnsi="Times New Roman"/>
                <w:bCs/>
                <w:sz w:val="26"/>
                <w:szCs w:val="26"/>
                <w:lang w:eastAsia="en-US"/>
              </w:rPr>
              <w:t xml:space="preserve">, </w:t>
            </w:r>
            <w:r w:rsidR="000532A4" w:rsidRPr="0018134B">
              <w:rPr>
                <w:rFonts w:ascii="Times New Roman" w:hAnsi="Times New Roman"/>
                <w:bCs/>
                <w:sz w:val="26"/>
                <w:szCs w:val="26"/>
                <w:lang w:eastAsia="en-US"/>
              </w:rPr>
              <w:t>se regăsi în prevederile Legii</w:t>
            </w:r>
            <w:r w:rsidR="002A41CC" w:rsidRPr="0018134B">
              <w:rPr>
                <w:rFonts w:ascii="Times New Roman" w:hAnsi="Times New Roman"/>
                <w:bCs/>
                <w:sz w:val="26"/>
                <w:szCs w:val="26"/>
                <w:lang w:eastAsia="en-US"/>
              </w:rPr>
              <w:t xml:space="preserve"> nr. 108/2016 cu privire la gazele naturale (</w:t>
            </w:r>
            <w:r w:rsidR="000532A4" w:rsidRPr="0018134B">
              <w:rPr>
                <w:rFonts w:ascii="Times New Roman" w:hAnsi="Times New Roman"/>
                <w:bCs/>
                <w:sz w:val="26"/>
                <w:szCs w:val="26"/>
                <w:lang w:eastAsia="en-US"/>
              </w:rPr>
              <w:t>un proiect de modificare în acest scop</w:t>
            </w:r>
            <w:r w:rsidR="002A41CC" w:rsidRPr="0018134B">
              <w:rPr>
                <w:rFonts w:ascii="Times New Roman" w:hAnsi="Times New Roman"/>
                <w:bCs/>
                <w:sz w:val="26"/>
                <w:szCs w:val="26"/>
                <w:lang w:eastAsia="en-US"/>
              </w:rPr>
              <w:t xml:space="preserve"> a fost elaborat de către Ministerul Energiei ș</w:t>
            </w:r>
            <w:r w:rsidR="000532A4" w:rsidRPr="0018134B">
              <w:rPr>
                <w:rFonts w:ascii="Times New Roman" w:hAnsi="Times New Roman"/>
                <w:bCs/>
                <w:sz w:val="26"/>
                <w:szCs w:val="26"/>
                <w:lang w:eastAsia="en-US"/>
              </w:rPr>
              <w:t xml:space="preserve">i se află în proces </w:t>
            </w:r>
            <w:r w:rsidR="006D1F53" w:rsidRPr="0018134B">
              <w:rPr>
                <w:rFonts w:ascii="Times New Roman" w:hAnsi="Times New Roman"/>
                <w:bCs/>
                <w:sz w:val="26"/>
                <w:szCs w:val="26"/>
                <w:lang w:eastAsia="en-US"/>
              </w:rPr>
              <w:t xml:space="preserve">de consultare publică și promovare în conformitate cu cerințele Legii nr. 100/2017 cu privire la actele normative și ale Legii nr. 239/2008 privind </w:t>
            </w:r>
            <w:r w:rsidR="000D07D6" w:rsidRPr="0018134B">
              <w:rPr>
                <w:rFonts w:ascii="Times New Roman" w:hAnsi="Times New Roman"/>
                <w:bCs/>
                <w:sz w:val="26"/>
                <w:szCs w:val="26"/>
                <w:lang w:eastAsia="en-US"/>
              </w:rPr>
              <w:t>transparența</w:t>
            </w:r>
            <w:r w:rsidR="006D1F53" w:rsidRPr="0018134B">
              <w:rPr>
                <w:rFonts w:ascii="Times New Roman" w:hAnsi="Times New Roman"/>
                <w:bCs/>
                <w:sz w:val="26"/>
                <w:szCs w:val="26"/>
                <w:lang w:eastAsia="en-US"/>
              </w:rPr>
              <w:t xml:space="preserve"> în procesul decizional</w:t>
            </w:r>
            <w:r w:rsidR="000532A4" w:rsidRPr="0018134B">
              <w:rPr>
                <w:rFonts w:ascii="Times New Roman" w:hAnsi="Times New Roman"/>
                <w:bCs/>
                <w:sz w:val="26"/>
                <w:szCs w:val="26"/>
                <w:lang w:eastAsia="en-US"/>
              </w:rPr>
              <w:t>)</w:t>
            </w:r>
            <w:r w:rsidR="006D1F53" w:rsidRPr="0018134B">
              <w:rPr>
                <w:rFonts w:ascii="Times New Roman" w:hAnsi="Times New Roman"/>
                <w:bCs/>
                <w:sz w:val="26"/>
                <w:szCs w:val="26"/>
                <w:lang w:eastAsia="en-US"/>
              </w:rPr>
              <w:t xml:space="preserve">. </w:t>
            </w:r>
          </w:p>
          <w:p w14:paraId="77599FA1" w14:textId="77777777" w:rsidR="00F67277" w:rsidRPr="0018134B" w:rsidRDefault="00F67277" w:rsidP="001215F9">
            <w:pPr>
              <w:tabs>
                <w:tab w:val="left" w:pos="709"/>
                <w:tab w:val="left" w:pos="884"/>
                <w:tab w:val="left" w:pos="1196"/>
              </w:tabs>
              <w:spacing w:before="160" w:after="120" w:line="240" w:lineRule="auto"/>
              <w:jc w:val="both"/>
              <w:rPr>
                <w:rFonts w:ascii="Times New Roman" w:hAnsi="Times New Roman"/>
                <w:b/>
                <w:bCs/>
                <w:sz w:val="26"/>
                <w:szCs w:val="26"/>
                <w:lang w:eastAsia="en-US"/>
              </w:rPr>
            </w:pPr>
            <w:r w:rsidRPr="0018134B">
              <w:rPr>
                <w:rFonts w:ascii="Times New Roman" w:hAnsi="Times New Roman"/>
                <w:b/>
                <w:bCs/>
                <w:i/>
                <w:sz w:val="26"/>
                <w:szCs w:val="26"/>
                <w:lang w:eastAsia="en-US"/>
              </w:rPr>
              <w:t>3.2. Opțiunile alternative analizate și motivele pentru care acestea nu au fost luate în considerare</w:t>
            </w:r>
          </w:p>
          <w:p w14:paraId="0C25E741" w14:textId="4890E20B" w:rsidR="00F67277" w:rsidRPr="0018134B" w:rsidRDefault="00F67277" w:rsidP="00156127">
            <w:pPr>
              <w:pStyle w:val="Default"/>
              <w:spacing w:after="60"/>
              <w:jc w:val="both"/>
              <w:rPr>
                <w:sz w:val="26"/>
                <w:szCs w:val="26"/>
                <w:lang w:val="ro-RO"/>
              </w:rPr>
            </w:pPr>
            <w:r w:rsidRPr="0018134B">
              <w:rPr>
                <w:sz w:val="26"/>
                <w:szCs w:val="26"/>
                <w:lang w:val="ro-RO"/>
              </w:rPr>
              <w:t>În vederea atingerii obiectivelor formulate în compartimentul nr. 3</w:t>
            </w:r>
            <w:r w:rsidR="002A3D1A" w:rsidRPr="0018134B">
              <w:rPr>
                <w:sz w:val="26"/>
                <w:szCs w:val="26"/>
                <w:lang w:val="ro-RO"/>
              </w:rPr>
              <w:t>.1 din prezenta N</w:t>
            </w:r>
            <w:r w:rsidRPr="0018134B">
              <w:rPr>
                <w:sz w:val="26"/>
                <w:szCs w:val="26"/>
                <w:lang w:val="ro-RO"/>
              </w:rPr>
              <w:t xml:space="preserve">otă de fundamentare, nu au fost identificate opțiuni alternative. </w:t>
            </w:r>
          </w:p>
        </w:tc>
      </w:tr>
      <w:tr w:rsidR="00F67277" w:rsidRPr="0018134B" w14:paraId="61A86073" w14:textId="77777777" w:rsidTr="00F67277">
        <w:trPr>
          <w:trHeight w:val="331"/>
        </w:trPr>
        <w:tc>
          <w:tcPr>
            <w:tcW w:w="5000" w:type="pct"/>
            <w:shd w:val="clear" w:color="auto" w:fill="DEEAF6" w:themeFill="accent1" w:themeFillTint="33"/>
          </w:tcPr>
          <w:p w14:paraId="596DBAE9" w14:textId="00C7484F" w:rsidR="00F67277" w:rsidRPr="0018134B" w:rsidRDefault="00F67277" w:rsidP="001215F9">
            <w:pPr>
              <w:tabs>
                <w:tab w:val="left" w:pos="709"/>
                <w:tab w:val="left" w:pos="884"/>
                <w:tab w:val="left" w:pos="1196"/>
              </w:tabs>
              <w:spacing w:before="100" w:after="100" w:line="240" w:lineRule="auto"/>
              <w:jc w:val="both"/>
              <w:rPr>
                <w:rFonts w:ascii="Times New Roman" w:hAnsi="Times New Roman"/>
                <w:bCs/>
                <w:sz w:val="26"/>
                <w:szCs w:val="26"/>
                <w:lang w:eastAsia="en-US"/>
              </w:rPr>
            </w:pPr>
            <w:r w:rsidRPr="0018134B">
              <w:rPr>
                <w:rFonts w:ascii="Times New Roman" w:hAnsi="Times New Roman"/>
                <w:b/>
                <w:bCs/>
                <w:sz w:val="26"/>
                <w:szCs w:val="26"/>
                <w:lang w:eastAsia="en-US"/>
              </w:rPr>
              <w:lastRenderedPageBreak/>
              <w:t>4. Analiza impactului de reglementare</w:t>
            </w:r>
          </w:p>
        </w:tc>
      </w:tr>
      <w:tr w:rsidR="00F67277" w:rsidRPr="0018134B" w14:paraId="5EEAD759" w14:textId="77777777" w:rsidTr="00F67277">
        <w:trPr>
          <w:trHeight w:val="331"/>
        </w:trPr>
        <w:tc>
          <w:tcPr>
            <w:tcW w:w="5000" w:type="pct"/>
            <w:shd w:val="clear" w:color="auto" w:fill="FFFFFF" w:themeFill="background1"/>
          </w:tcPr>
          <w:p w14:paraId="43F178E0" w14:textId="5E4D1DA5" w:rsidR="00412A01" w:rsidRPr="00412A01" w:rsidRDefault="00F67277" w:rsidP="00093182">
            <w:pPr>
              <w:pStyle w:val="Default"/>
              <w:spacing w:before="60"/>
              <w:jc w:val="both"/>
              <w:rPr>
                <w:b/>
                <w:bCs/>
                <w:i/>
                <w:sz w:val="26"/>
                <w:szCs w:val="26"/>
                <w:lang w:val="ro-RO"/>
              </w:rPr>
            </w:pPr>
            <w:r w:rsidRPr="00412A01">
              <w:rPr>
                <w:b/>
                <w:bCs/>
                <w:i/>
                <w:sz w:val="26"/>
                <w:szCs w:val="26"/>
                <w:lang w:val="ro-RO"/>
              </w:rPr>
              <w:t>4.1. Impactul asupra sectorului public</w:t>
            </w:r>
          </w:p>
          <w:p w14:paraId="7E27A6B5" w14:textId="45373AB0" w:rsidR="00412A01" w:rsidRPr="00412A01" w:rsidRDefault="00093182" w:rsidP="00412A01">
            <w:pPr>
              <w:pStyle w:val="Default"/>
              <w:spacing w:before="100"/>
              <w:jc w:val="both"/>
              <w:rPr>
                <w:bCs/>
                <w:sz w:val="26"/>
                <w:szCs w:val="26"/>
                <w:lang w:val="ro-RO"/>
              </w:rPr>
            </w:pPr>
            <w:r>
              <w:rPr>
                <w:bCs/>
                <w:sz w:val="26"/>
                <w:szCs w:val="26"/>
                <w:lang w:val="ro-RO"/>
              </w:rPr>
              <w:t>I</w:t>
            </w:r>
            <w:r w:rsidR="00412A01" w:rsidRPr="00412A01">
              <w:rPr>
                <w:bCs/>
                <w:sz w:val="26"/>
                <w:szCs w:val="26"/>
                <w:lang w:val="ro-RO"/>
              </w:rPr>
              <w:t xml:space="preserve">ntervenția abrogării hotărârilor de Guvern </w:t>
            </w:r>
            <w:r w:rsidR="001979E1">
              <w:rPr>
                <w:bCs/>
                <w:sz w:val="26"/>
                <w:szCs w:val="26"/>
                <w:lang w:val="ro-RO"/>
              </w:rPr>
              <w:t xml:space="preserve">care formează obiectul prezentului proiect, </w:t>
            </w:r>
            <w:r>
              <w:rPr>
                <w:bCs/>
                <w:sz w:val="26"/>
                <w:szCs w:val="26"/>
                <w:lang w:val="ro-RO"/>
              </w:rPr>
              <w:t>va avea ca efect e</w:t>
            </w:r>
            <w:r w:rsidR="00412A01" w:rsidRPr="00412A01">
              <w:rPr>
                <w:bCs/>
                <w:sz w:val="26"/>
                <w:szCs w:val="26"/>
                <w:lang w:val="ro-RO"/>
              </w:rPr>
              <w:t>xcluderea reglementărilor care perpetuează provocările și constrângerile legate de diversitatea formelor de proprietate asupra rețelelor de gaze naturale și creează impedimente în asigurarea rezilienței infrastructurii de gaze</w:t>
            </w:r>
            <w:r>
              <w:rPr>
                <w:bCs/>
                <w:sz w:val="26"/>
                <w:szCs w:val="26"/>
                <w:lang w:val="ro-RO"/>
              </w:rPr>
              <w:t xml:space="preserve"> naturale, ceea ce denotă un impact pozitiv. </w:t>
            </w:r>
          </w:p>
          <w:p w14:paraId="7DAEB92C" w14:textId="12450D9B" w:rsidR="00D65487" w:rsidRPr="0018134B" w:rsidRDefault="00F67277" w:rsidP="00412A01">
            <w:pPr>
              <w:pStyle w:val="Default"/>
              <w:spacing w:before="100"/>
              <w:jc w:val="both"/>
              <w:rPr>
                <w:b/>
                <w:bCs/>
                <w:i/>
                <w:sz w:val="26"/>
                <w:szCs w:val="26"/>
                <w:lang w:val="es-ES"/>
              </w:rPr>
            </w:pPr>
            <w:r w:rsidRPr="00247CC8">
              <w:rPr>
                <w:b/>
                <w:bCs/>
                <w:i/>
                <w:sz w:val="26"/>
                <w:szCs w:val="26"/>
                <w:lang w:val="ro-RO"/>
              </w:rPr>
              <w:lastRenderedPageBreak/>
              <w:t xml:space="preserve">4.2. Impactul financiar și argumentarea costurilor </w:t>
            </w:r>
            <w:r w:rsidRPr="0018134B">
              <w:rPr>
                <w:b/>
                <w:bCs/>
                <w:i/>
                <w:sz w:val="26"/>
                <w:szCs w:val="26"/>
                <w:lang w:val="es-ES"/>
              </w:rPr>
              <w:t xml:space="preserve">estimative </w:t>
            </w:r>
          </w:p>
          <w:p w14:paraId="28842173" w14:textId="12E13125" w:rsidR="00D65487" w:rsidRPr="0018134B" w:rsidRDefault="00D65487" w:rsidP="00E64488">
            <w:pPr>
              <w:pStyle w:val="Default"/>
              <w:spacing w:before="60" w:after="60"/>
              <w:jc w:val="both"/>
              <w:rPr>
                <w:rFonts w:eastAsia="Times New Roman"/>
                <w:bCs/>
                <w:color w:val="auto"/>
                <w:sz w:val="26"/>
                <w:szCs w:val="26"/>
                <w:lang w:val="ro-RO"/>
              </w:rPr>
            </w:pPr>
            <w:r w:rsidRPr="0018134B">
              <w:rPr>
                <w:rFonts w:eastAsia="Times New Roman"/>
                <w:bCs/>
                <w:color w:val="auto"/>
                <w:sz w:val="26"/>
                <w:szCs w:val="26"/>
                <w:lang w:val="ro-RO"/>
              </w:rPr>
              <w:t>Pornind de la faptul că prezentul proiect, elimină normele juridice inaplicabile sau desuete – prevederile propuse nu implică un impact financiar.</w:t>
            </w:r>
          </w:p>
          <w:p w14:paraId="7C85863E" w14:textId="18DD7D1E" w:rsidR="00D65487" w:rsidRPr="0018134B" w:rsidRDefault="00D65487" w:rsidP="001215F9">
            <w:pPr>
              <w:pStyle w:val="Default"/>
              <w:jc w:val="both"/>
              <w:rPr>
                <w:b/>
                <w:bCs/>
                <w:i/>
                <w:sz w:val="26"/>
                <w:szCs w:val="26"/>
                <w:lang w:val="ro-RO"/>
              </w:rPr>
            </w:pPr>
            <w:r w:rsidRPr="0018134B">
              <w:rPr>
                <w:b/>
                <w:bCs/>
                <w:i/>
                <w:sz w:val="26"/>
                <w:szCs w:val="26"/>
                <w:lang w:val="ro-RO"/>
              </w:rPr>
              <w:t>4.3. Impactul asupra sectorului privat</w:t>
            </w:r>
          </w:p>
          <w:p w14:paraId="2AA3916F" w14:textId="34CF3B91" w:rsidR="00D65487" w:rsidRPr="0018134B" w:rsidRDefault="00D65487" w:rsidP="001215F9">
            <w:pPr>
              <w:pStyle w:val="Default"/>
              <w:jc w:val="both"/>
              <w:rPr>
                <w:rFonts w:eastAsia="Times New Roman"/>
                <w:bCs/>
                <w:color w:val="auto"/>
                <w:sz w:val="26"/>
                <w:szCs w:val="26"/>
                <w:lang w:val="ro-RO"/>
              </w:rPr>
            </w:pPr>
            <w:r w:rsidRPr="0018134B">
              <w:rPr>
                <w:rFonts w:eastAsia="Times New Roman"/>
                <w:bCs/>
                <w:color w:val="auto"/>
                <w:sz w:val="26"/>
                <w:szCs w:val="26"/>
                <w:lang w:val="ro-RO"/>
              </w:rPr>
              <w:t>Nu este aplicabil</w:t>
            </w:r>
          </w:p>
          <w:p w14:paraId="39A7D9AF" w14:textId="788E45E1" w:rsidR="00D65487" w:rsidRPr="0018134B" w:rsidRDefault="00D65487" w:rsidP="001215F9">
            <w:pPr>
              <w:pStyle w:val="Default"/>
              <w:jc w:val="both"/>
              <w:rPr>
                <w:b/>
                <w:bCs/>
                <w:i/>
                <w:sz w:val="26"/>
                <w:szCs w:val="26"/>
                <w:lang w:val="ro-RO"/>
              </w:rPr>
            </w:pPr>
            <w:r w:rsidRPr="0018134B">
              <w:rPr>
                <w:b/>
                <w:bCs/>
                <w:i/>
                <w:sz w:val="26"/>
                <w:szCs w:val="26"/>
                <w:lang w:val="ro-RO"/>
              </w:rPr>
              <w:t>4.4. Impactul social</w:t>
            </w:r>
          </w:p>
          <w:p w14:paraId="051BB8C3" w14:textId="353A2E67" w:rsidR="00D65487" w:rsidRPr="0018134B" w:rsidRDefault="00D65487" w:rsidP="001215F9">
            <w:pPr>
              <w:pStyle w:val="Default"/>
              <w:jc w:val="both"/>
              <w:rPr>
                <w:rFonts w:eastAsia="Times New Roman"/>
                <w:bCs/>
                <w:color w:val="auto"/>
                <w:sz w:val="26"/>
                <w:szCs w:val="26"/>
                <w:lang w:val="ro-RO"/>
              </w:rPr>
            </w:pPr>
            <w:r w:rsidRPr="0018134B">
              <w:rPr>
                <w:rFonts w:eastAsia="Times New Roman"/>
                <w:bCs/>
                <w:color w:val="auto"/>
                <w:sz w:val="26"/>
                <w:szCs w:val="26"/>
                <w:lang w:val="ro-RO"/>
              </w:rPr>
              <w:t>Nu este aplicabil</w:t>
            </w:r>
          </w:p>
          <w:p w14:paraId="66DD29D8" w14:textId="77777777" w:rsidR="00D65487" w:rsidRPr="0018134B" w:rsidRDefault="00D65487" w:rsidP="001215F9">
            <w:pPr>
              <w:pStyle w:val="Default"/>
              <w:jc w:val="both"/>
              <w:rPr>
                <w:b/>
                <w:bCs/>
                <w:i/>
                <w:sz w:val="26"/>
                <w:szCs w:val="26"/>
                <w:lang w:val="ro-RO"/>
              </w:rPr>
            </w:pPr>
            <w:r w:rsidRPr="0018134B">
              <w:rPr>
                <w:b/>
                <w:bCs/>
                <w:i/>
                <w:sz w:val="26"/>
                <w:szCs w:val="26"/>
                <w:lang w:val="ro-RO"/>
              </w:rPr>
              <w:t>4.4.1. Impactul asupra datelor cu caracter personal</w:t>
            </w:r>
          </w:p>
          <w:p w14:paraId="4D9B1F68" w14:textId="77777777" w:rsidR="00D65487" w:rsidRPr="0018134B" w:rsidRDefault="00D65487" w:rsidP="001215F9">
            <w:pPr>
              <w:pStyle w:val="Default"/>
              <w:jc w:val="both"/>
              <w:rPr>
                <w:sz w:val="26"/>
                <w:szCs w:val="26"/>
                <w:lang w:val="ro-RO"/>
              </w:rPr>
            </w:pPr>
            <w:r w:rsidRPr="0018134B">
              <w:rPr>
                <w:sz w:val="26"/>
                <w:szCs w:val="26"/>
                <w:lang w:val="ro-RO"/>
              </w:rPr>
              <w:t>Nu este aplicabil.</w:t>
            </w:r>
          </w:p>
          <w:p w14:paraId="5310ADC0" w14:textId="77777777" w:rsidR="00D65487" w:rsidRPr="0018134B" w:rsidRDefault="00D65487" w:rsidP="001215F9">
            <w:pPr>
              <w:pStyle w:val="Default"/>
              <w:jc w:val="both"/>
              <w:rPr>
                <w:b/>
                <w:bCs/>
                <w:i/>
                <w:sz w:val="26"/>
                <w:szCs w:val="26"/>
                <w:lang w:val="ro-RO"/>
              </w:rPr>
            </w:pPr>
            <w:r w:rsidRPr="0018134B">
              <w:rPr>
                <w:b/>
                <w:bCs/>
                <w:i/>
                <w:sz w:val="26"/>
                <w:szCs w:val="26"/>
                <w:lang w:val="ro-RO"/>
              </w:rPr>
              <w:t>4.4.2. Impactul asupra echității și egalității de gen</w:t>
            </w:r>
          </w:p>
          <w:p w14:paraId="41E677D7" w14:textId="77777777" w:rsidR="00D65487" w:rsidRPr="0018134B" w:rsidRDefault="00D65487" w:rsidP="001215F9">
            <w:pPr>
              <w:pStyle w:val="Default"/>
              <w:jc w:val="both"/>
              <w:rPr>
                <w:sz w:val="26"/>
                <w:szCs w:val="26"/>
                <w:lang w:val="ro-RO"/>
              </w:rPr>
            </w:pPr>
            <w:r w:rsidRPr="0018134B">
              <w:rPr>
                <w:sz w:val="26"/>
                <w:szCs w:val="26"/>
                <w:lang w:val="ro-RO"/>
              </w:rPr>
              <w:t>Nu este aplicabil.</w:t>
            </w:r>
          </w:p>
          <w:p w14:paraId="41904BD2" w14:textId="77777777" w:rsidR="00D65487" w:rsidRPr="0018134B" w:rsidRDefault="00D65487" w:rsidP="001215F9">
            <w:pPr>
              <w:pStyle w:val="Default"/>
              <w:jc w:val="both"/>
              <w:rPr>
                <w:b/>
                <w:bCs/>
                <w:i/>
                <w:sz w:val="26"/>
                <w:szCs w:val="26"/>
                <w:lang w:val="ro-RO"/>
              </w:rPr>
            </w:pPr>
            <w:r w:rsidRPr="0018134B">
              <w:rPr>
                <w:b/>
                <w:bCs/>
                <w:i/>
                <w:sz w:val="26"/>
                <w:szCs w:val="26"/>
                <w:lang w:val="ro-RO"/>
              </w:rPr>
              <w:t>4.5. Impactul asupra mediului</w:t>
            </w:r>
          </w:p>
          <w:p w14:paraId="57B99386" w14:textId="77777777" w:rsidR="00D65487" w:rsidRPr="0018134B" w:rsidRDefault="00D65487" w:rsidP="001215F9">
            <w:pPr>
              <w:pStyle w:val="Default"/>
              <w:jc w:val="both"/>
              <w:rPr>
                <w:sz w:val="26"/>
                <w:szCs w:val="26"/>
                <w:lang w:val="ro-RO"/>
              </w:rPr>
            </w:pPr>
            <w:r w:rsidRPr="0018134B">
              <w:rPr>
                <w:sz w:val="26"/>
                <w:szCs w:val="26"/>
                <w:lang w:val="ro-RO"/>
              </w:rPr>
              <w:t>Nu este aplicabil.</w:t>
            </w:r>
          </w:p>
          <w:p w14:paraId="055D6C87" w14:textId="77777777" w:rsidR="00D65487" w:rsidRPr="0018134B" w:rsidRDefault="00D65487" w:rsidP="001215F9">
            <w:pPr>
              <w:pStyle w:val="Default"/>
              <w:jc w:val="both"/>
              <w:rPr>
                <w:b/>
                <w:i/>
                <w:sz w:val="26"/>
                <w:szCs w:val="26"/>
                <w:lang w:val="ro-RO"/>
              </w:rPr>
            </w:pPr>
            <w:r w:rsidRPr="0018134B">
              <w:rPr>
                <w:b/>
                <w:i/>
                <w:sz w:val="26"/>
                <w:szCs w:val="26"/>
                <w:lang w:val="ro-RO"/>
              </w:rPr>
              <w:t>4.6. Alte impacturi și informații relevante</w:t>
            </w:r>
          </w:p>
          <w:p w14:paraId="281F96D9" w14:textId="6C191948" w:rsidR="00D65487" w:rsidRPr="0018134B" w:rsidRDefault="00D65487" w:rsidP="001215F9">
            <w:pPr>
              <w:pStyle w:val="Default"/>
              <w:jc w:val="both"/>
              <w:rPr>
                <w:sz w:val="26"/>
                <w:szCs w:val="26"/>
                <w:lang w:val="es-ES"/>
              </w:rPr>
            </w:pPr>
            <w:r w:rsidRPr="0018134B">
              <w:rPr>
                <w:sz w:val="26"/>
                <w:szCs w:val="26"/>
                <w:lang w:val="ro-RO"/>
              </w:rPr>
              <w:t>Nu este aplicabil</w:t>
            </w:r>
          </w:p>
        </w:tc>
      </w:tr>
      <w:tr w:rsidR="00A43960" w:rsidRPr="0018134B" w14:paraId="0AE48325" w14:textId="77777777" w:rsidTr="00A43960">
        <w:trPr>
          <w:trHeight w:val="331"/>
        </w:trPr>
        <w:tc>
          <w:tcPr>
            <w:tcW w:w="5000" w:type="pct"/>
            <w:shd w:val="clear" w:color="auto" w:fill="DEEAF6" w:themeFill="accent1" w:themeFillTint="33"/>
          </w:tcPr>
          <w:p w14:paraId="4E616ECD" w14:textId="144864CD" w:rsidR="00A43960" w:rsidRPr="0018134B" w:rsidRDefault="00A43960" w:rsidP="001215F9">
            <w:pPr>
              <w:tabs>
                <w:tab w:val="left" w:pos="709"/>
                <w:tab w:val="left" w:pos="884"/>
                <w:tab w:val="left" w:pos="1196"/>
              </w:tabs>
              <w:spacing w:before="100" w:after="100" w:line="240" w:lineRule="auto"/>
              <w:jc w:val="both"/>
              <w:rPr>
                <w:rFonts w:ascii="Times New Roman" w:hAnsi="Times New Roman"/>
                <w:sz w:val="26"/>
                <w:szCs w:val="26"/>
                <w:lang w:val="es-ES" w:eastAsia="en-US"/>
              </w:rPr>
            </w:pPr>
            <w:r w:rsidRPr="0018134B">
              <w:rPr>
                <w:rFonts w:ascii="Times New Roman" w:hAnsi="Times New Roman"/>
                <w:b/>
                <w:bCs/>
                <w:sz w:val="26"/>
                <w:szCs w:val="26"/>
                <w:lang w:eastAsia="en-US"/>
              </w:rPr>
              <w:lastRenderedPageBreak/>
              <w:t xml:space="preserve">5. </w:t>
            </w:r>
            <w:r w:rsidR="006B5F60" w:rsidRPr="0018134B">
              <w:rPr>
                <w:rFonts w:ascii="Times New Roman" w:hAnsi="Times New Roman"/>
                <w:b/>
                <w:bCs/>
                <w:sz w:val="26"/>
                <w:szCs w:val="26"/>
                <w:lang w:eastAsia="en-US"/>
              </w:rPr>
              <w:t>Compatibilitatea proiectului actului normativ cu legislația UE</w:t>
            </w:r>
          </w:p>
        </w:tc>
      </w:tr>
      <w:tr w:rsidR="006B5F60" w:rsidRPr="0018134B" w14:paraId="6D1CC7AB" w14:textId="77777777" w:rsidTr="006B5F60">
        <w:trPr>
          <w:trHeight w:val="331"/>
        </w:trPr>
        <w:tc>
          <w:tcPr>
            <w:tcW w:w="5000" w:type="pct"/>
            <w:shd w:val="clear" w:color="auto" w:fill="FFFFFF" w:themeFill="background1"/>
          </w:tcPr>
          <w:p w14:paraId="4D3E6104" w14:textId="110EDE45" w:rsidR="006B5F60" w:rsidRPr="0018134B" w:rsidRDefault="006B5F60" w:rsidP="001215F9">
            <w:pPr>
              <w:tabs>
                <w:tab w:val="left" w:pos="709"/>
                <w:tab w:val="left" w:pos="884"/>
                <w:tab w:val="left" w:pos="1196"/>
              </w:tabs>
              <w:spacing w:before="160" w:after="120" w:line="240" w:lineRule="auto"/>
              <w:jc w:val="both"/>
              <w:rPr>
                <w:rFonts w:ascii="Times New Roman" w:hAnsi="Times New Roman"/>
                <w:bCs/>
                <w:sz w:val="26"/>
                <w:szCs w:val="26"/>
                <w:lang w:eastAsia="en-US"/>
              </w:rPr>
            </w:pPr>
            <w:r w:rsidRPr="0018134B">
              <w:rPr>
                <w:rFonts w:ascii="Times New Roman" w:hAnsi="Times New Roman"/>
                <w:bCs/>
                <w:sz w:val="26"/>
                <w:szCs w:val="26"/>
                <w:lang w:eastAsia="en-US"/>
              </w:rPr>
              <w:t>Proiectul nu transpune careva acte normative ale Uniunii Europene.</w:t>
            </w:r>
          </w:p>
        </w:tc>
      </w:tr>
      <w:tr w:rsidR="006B5F60" w:rsidRPr="0018134B" w14:paraId="58277F89" w14:textId="77777777" w:rsidTr="00A43960">
        <w:trPr>
          <w:trHeight w:val="331"/>
        </w:trPr>
        <w:tc>
          <w:tcPr>
            <w:tcW w:w="5000" w:type="pct"/>
            <w:shd w:val="clear" w:color="auto" w:fill="DEEAF6" w:themeFill="accent1" w:themeFillTint="33"/>
          </w:tcPr>
          <w:p w14:paraId="1E8E678E" w14:textId="1F0DA918" w:rsidR="006B5F60" w:rsidRPr="0018134B" w:rsidRDefault="006B5F60" w:rsidP="001215F9">
            <w:pPr>
              <w:tabs>
                <w:tab w:val="left" w:pos="709"/>
                <w:tab w:val="left" w:pos="884"/>
                <w:tab w:val="left" w:pos="1196"/>
              </w:tabs>
              <w:spacing w:before="100" w:after="100" w:line="240" w:lineRule="auto"/>
              <w:jc w:val="both"/>
              <w:rPr>
                <w:rFonts w:ascii="Times New Roman" w:hAnsi="Times New Roman"/>
                <w:b/>
                <w:bCs/>
                <w:sz w:val="26"/>
                <w:szCs w:val="26"/>
                <w:lang w:eastAsia="en-US"/>
              </w:rPr>
            </w:pPr>
            <w:r w:rsidRPr="0018134B">
              <w:rPr>
                <w:rFonts w:ascii="Times New Roman" w:hAnsi="Times New Roman"/>
                <w:b/>
                <w:bCs/>
                <w:sz w:val="26"/>
                <w:szCs w:val="26"/>
                <w:lang w:eastAsia="en-US"/>
              </w:rPr>
              <w:t>6. Avizarea și consultarea publică a proiectului</w:t>
            </w:r>
          </w:p>
        </w:tc>
      </w:tr>
      <w:tr w:rsidR="00A43960" w:rsidRPr="0018134B" w14:paraId="55151B24" w14:textId="77777777" w:rsidTr="00A43960">
        <w:trPr>
          <w:trHeight w:val="331"/>
        </w:trPr>
        <w:tc>
          <w:tcPr>
            <w:tcW w:w="5000" w:type="pct"/>
            <w:shd w:val="clear" w:color="auto" w:fill="auto"/>
          </w:tcPr>
          <w:p w14:paraId="70B46F0C" w14:textId="629A33A5" w:rsidR="00A43960" w:rsidRPr="0018134B" w:rsidRDefault="006B5F60" w:rsidP="001215F9">
            <w:pPr>
              <w:tabs>
                <w:tab w:val="left" w:pos="709"/>
                <w:tab w:val="left" w:pos="884"/>
                <w:tab w:val="left" w:pos="1196"/>
              </w:tabs>
              <w:spacing w:before="160" w:after="120" w:line="240" w:lineRule="auto"/>
              <w:jc w:val="both"/>
              <w:rPr>
                <w:rFonts w:ascii="Times New Roman" w:hAnsi="Times New Roman"/>
                <w:b/>
                <w:bCs/>
                <w:sz w:val="26"/>
                <w:szCs w:val="26"/>
                <w:lang w:eastAsia="en-US"/>
              </w:rPr>
            </w:pPr>
            <w:r w:rsidRPr="0018134B">
              <w:rPr>
                <w:rFonts w:ascii="Times New Roman" w:hAnsi="Times New Roman"/>
                <w:bCs/>
                <w:sz w:val="26"/>
                <w:szCs w:val="26"/>
                <w:lang w:eastAsia="en-US"/>
              </w:rPr>
              <w:t xml:space="preserve">În conformitate cu prevederile Legii nr.100/2017 privind actele normative, proiectul hotărârii de Guvern urmează a fi expediat spre examinare și avizare autorităților publice de profil și instituțiilor interesate. De asemenea, în scopul respectării prevederilor Legii nr.239/2008 privind transparența în procesul decizional, proiectul va fi publicat pe portalul guvernamental </w:t>
            </w:r>
            <w:hyperlink r:id="rId10" w:history="1">
              <w:r w:rsidRPr="0018134B">
                <w:rPr>
                  <w:rStyle w:val="Hyperlink"/>
                  <w:rFonts w:ascii="Times New Roman" w:hAnsi="Times New Roman"/>
                  <w:bCs/>
                  <w:sz w:val="26"/>
                  <w:szCs w:val="26"/>
                  <w:lang w:eastAsia="en-US"/>
                </w:rPr>
                <w:t>www.particip.gov.md</w:t>
              </w:r>
            </w:hyperlink>
            <w:r w:rsidRPr="0018134B">
              <w:rPr>
                <w:rFonts w:ascii="Times New Roman" w:hAnsi="Times New Roman"/>
                <w:bCs/>
                <w:sz w:val="26"/>
                <w:szCs w:val="26"/>
                <w:lang w:eastAsia="en-US"/>
              </w:rPr>
              <w:t xml:space="preserve"> pentru consultări publice.</w:t>
            </w:r>
          </w:p>
        </w:tc>
      </w:tr>
      <w:tr w:rsidR="00854299" w:rsidRPr="0018134B" w14:paraId="2EBE9189" w14:textId="77777777" w:rsidTr="00854299">
        <w:trPr>
          <w:trHeight w:val="331"/>
        </w:trPr>
        <w:tc>
          <w:tcPr>
            <w:tcW w:w="5000" w:type="pct"/>
            <w:shd w:val="clear" w:color="auto" w:fill="DEEAF6" w:themeFill="accent1" w:themeFillTint="33"/>
          </w:tcPr>
          <w:p w14:paraId="0D1D0E69" w14:textId="18E11FBB" w:rsidR="00854299" w:rsidRPr="0018134B" w:rsidRDefault="00854299" w:rsidP="001215F9">
            <w:pPr>
              <w:tabs>
                <w:tab w:val="left" w:pos="709"/>
                <w:tab w:val="left" w:pos="884"/>
                <w:tab w:val="left" w:pos="1196"/>
              </w:tabs>
              <w:spacing w:before="100" w:after="100" w:line="240" w:lineRule="auto"/>
              <w:jc w:val="both"/>
              <w:rPr>
                <w:rFonts w:ascii="Times New Roman" w:hAnsi="Times New Roman"/>
                <w:bCs/>
                <w:sz w:val="26"/>
                <w:szCs w:val="26"/>
                <w:lang w:eastAsia="en-US"/>
              </w:rPr>
            </w:pPr>
            <w:r w:rsidRPr="0018134B">
              <w:rPr>
                <w:rFonts w:ascii="Times New Roman" w:hAnsi="Times New Roman"/>
                <w:b/>
                <w:bCs/>
                <w:sz w:val="26"/>
                <w:szCs w:val="26"/>
                <w:lang w:eastAsia="en-US"/>
              </w:rPr>
              <w:t>7. Concluziile expertizelor</w:t>
            </w:r>
          </w:p>
        </w:tc>
      </w:tr>
      <w:tr w:rsidR="00BB015D" w:rsidRPr="0018134B" w14:paraId="639FB967" w14:textId="77777777" w:rsidTr="00854299">
        <w:trPr>
          <w:trHeight w:val="331"/>
        </w:trPr>
        <w:tc>
          <w:tcPr>
            <w:tcW w:w="5000" w:type="pct"/>
            <w:shd w:val="clear" w:color="auto" w:fill="auto"/>
          </w:tcPr>
          <w:p w14:paraId="005F507F" w14:textId="02C531DF" w:rsidR="00BB015D" w:rsidRPr="0018134B" w:rsidRDefault="00854299" w:rsidP="001215F9">
            <w:pPr>
              <w:tabs>
                <w:tab w:val="left" w:pos="709"/>
                <w:tab w:val="left" w:pos="884"/>
                <w:tab w:val="left" w:pos="1196"/>
              </w:tabs>
              <w:spacing w:before="160" w:after="120" w:line="240" w:lineRule="auto"/>
              <w:jc w:val="both"/>
              <w:rPr>
                <w:rFonts w:ascii="Times New Roman" w:hAnsi="Times New Roman"/>
                <w:bCs/>
                <w:sz w:val="26"/>
                <w:szCs w:val="26"/>
                <w:lang w:eastAsia="en-US"/>
              </w:rPr>
            </w:pPr>
            <w:r w:rsidRPr="0018134B">
              <w:rPr>
                <w:rFonts w:ascii="Times New Roman" w:hAnsi="Times New Roman"/>
                <w:bCs/>
                <w:sz w:val="26"/>
                <w:szCs w:val="26"/>
                <w:lang w:eastAsia="en-US"/>
              </w:rPr>
              <w:t>Proiectul este supus expertizelor în conformitate cu Legea cu privire la actele normative, iar rezultatele acesteia vor fi incluse în sinteza obiecțiilor și propunerilor la proiect.</w:t>
            </w:r>
          </w:p>
        </w:tc>
      </w:tr>
      <w:tr w:rsidR="00854299" w:rsidRPr="0018134B" w14:paraId="79DE3C4B" w14:textId="77777777" w:rsidTr="00854299">
        <w:trPr>
          <w:trHeight w:val="331"/>
        </w:trPr>
        <w:tc>
          <w:tcPr>
            <w:tcW w:w="5000" w:type="pct"/>
            <w:shd w:val="clear" w:color="auto" w:fill="DEEAF6" w:themeFill="accent1" w:themeFillTint="33"/>
          </w:tcPr>
          <w:p w14:paraId="24F58439" w14:textId="7A25DEFF" w:rsidR="00854299" w:rsidRPr="0018134B" w:rsidRDefault="00854299" w:rsidP="001215F9">
            <w:pPr>
              <w:tabs>
                <w:tab w:val="left" w:pos="709"/>
                <w:tab w:val="left" w:pos="884"/>
                <w:tab w:val="left" w:pos="1196"/>
              </w:tabs>
              <w:spacing w:before="100" w:after="100" w:line="240" w:lineRule="auto"/>
              <w:jc w:val="both"/>
              <w:rPr>
                <w:rFonts w:ascii="Times New Roman" w:hAnsi="Times New Roman"/>
                <w:b/>
                <w:bCs/>
                <w:sz w:val="26"/>
                <w:szCs w:val="26"/>
                <w:lang w:eastAsia="en-US"/>
              </w:rPr>
            </w:pPr>
            <w:r w:rsidRPr="0018134B">
              <w:rPr>
                <w:rFonts w:ascii="Times New Roman" w:hAnsi="Times New Roman"/>
                <w:b/>
                <w:bCs/>
                <w:sz w:val="26"/>
                <w:szCs w:val="26"/>
                <w:lang w:eastAsia="en-US"/>
              </w:rPr>
              <w:t>8. Modul de încorporare a actului în cadrul normativ existent</w:t>
            </w:r>
          </w:p>
        </w:tc>
      </w:tr>
      <w:tr w:rsidR="00BB015D" w:rsidRPr="0018134B" w14:paraId="0197BD25" w14:textId="77777777" w:rsidTr="00BB015D">
        <w:trPr>
          <w:trHeight w:val="331"/>
        </w:trPr>
        <w:tc>
          <w:tcPr>
            <w:tcW w:w="5000" w:type="pct"/>
            <w:shd w:val="clear" w:color="auto" w:fill="FFFFFF" w:themeFill="background1"/>
          </w:tcPr>
          <w:p w14:paraId="42A9A7D0" w14:textId="1EB690CF" w:rsidR="00BB015D" w:rsidRPr="0018134B" w:rsidRDefault="00BB015D" w:rsidP="001215F9">
            <w:pPr>
              <w:tabs>
                <w:tab w:val="left" w:pos="709"/>
                <w:tab w:val="left" w:pos="884"/>
                <w:tab w:val="left" w:pos="1196"/>
              </w:tabs>
              <w:spacing w:before="160" w:after="120" w:line="240" w:lineRule="auto"/>
              <w:jc w:val="both"/>
              <w:rPr>
                <w:rFonts w:ascii="Times New Roman" w:hAnsi="Times New Roman"/>
                <w:bCs/>
                <w:sz w:val="26"/>
                <w:szCs w:val="26"/>
                <w:lang w:eastAsia="en-US"/>
              </w:rPr>
            </w:pPr>
            <w:r w:rsidRPr="0018134B">
              <w:rPr>
                <w:rFonts w:ascii="Times New Roman" w:hAnsi="Times New Roman"/>
                <w:bCs/>
                <w:sz w:val="26"/>
                <w:szCs w:val="26"/>
                <w:lang w:eastAsia="en-US"/>
              </w:rPr>
              <w:t>Prevederile propuse nu implică modificarea unor acte normative.</w:t>
            </w:r>
          </w:p>
        </w:tc>
      </w:tr>
      <w:tr w:rsidR="00BB015D" w:rsidRPr="0018134B" w14:paraId="6F9C5C1A" w14:textId="77777777" w:rsidTr="00BB015D">
        <w:trPr>
          <w:trHeight w:val="331"/>
        </w:trPr>
        <w:tc>
          <w:tcPr>
            <w:tcW w:w="5000" w:type="pct"/>
            <w:shd w:val="clear" w:color="auto" w:fill="DEEAF6" w:themeFill="accent1" w:themeFillTint="33"/>
          </w:tcPr>
          <w:p w14:paraId="7C309A4C" w14:textId="47CFC47B" w:rsidR="00BB015D" w:rsidRPr="0018134B" w:rsidRDefault="00854299" w:rsidP="001215F9">
            <w:pPr>
              <w:tabs>
                <w:tab w:val="left" w:pos="709"/>
                <w:tab w:val="left" w:pos="884"/>
                <w:tab w:val="left" w:pos="1196"/>
              </w:tabs>
              <w:spacing w:before="100" w:after="100" w:line="240" w:lineRule="auto"/>
              <w:jc w:val="both"/>
              <w:rPr>
                <w:rFonts w:ascii="Times New Roman" w:hAnsi="Times New Roman"/>
                <w:bCs/>
                <w:sz w:val="26"/>
                <w:szCs w:val="26"/>
                <w:lang w:eastAsia="en-US"/>
              </w:rPr>
            </w:pPr>
            <w:r w:rsidRPr="0018134B">
              <w:rPr>
                <w:rFonts w:ascii="Times New Roman" w:hAnsi="Times New Roman"/>
                <w:b/>
                <w:bCs/>
                <w:sz w:val="26"/>
                <w:szCs w:val="26"/>
                <w:lang w:eastAsia="en-US"/>
              </w:rPr>
              <w:t xml:space="preserve">9. </w:t>
            </w:r>
            <w:r w:rsidR="00BB015D" w:rsidRPr="0018134B">
              <w:rPr>
                <w:rFonts w:ascii="Times New Roman" w:hAnsi="Times New Roman"/>
                <w:b/>
                <w:bCs/>
                <w:sz w:val="26"/>
                <w:szCs w:val="26"/>
                <w:lang w:eastAsia="en-US"/>
              </w:rPr>
              <w:t>Măsurile necesare pentru implementarea prevederilor proiectului actului normativ</w:t>
            </w:r>
          </w:p>
        </w:tc>
      </w:tr>
      <w:tr w:rsidR="00BB015D" w:rsidRPr="0018134B" w14:paraId="7BDCA2AB" w14:textId="77777777" w:rsidTr="00BB015D">
        <w:trPr>
          <w:trHeight w:val="331"/>
        </w:trPr>
        <w:tc>
          <w:tcPr>
            <w:tcW w:w="5000" w:type="pct"/>
            <w:shd w:val="clear" w:color="auto" w:fill="FFFFFF" w:themeFill="background1"/>
          </w:tcPr>
          <w:p w14:paraId="53338E08" w14:textId="72515E1E" w:rsidR="00BB015D" w:rsidRPr="0018134B" w:rsidRDefault="00BB015D" w:rsidP="001215F9">
            <w:pPr>
              <w:tabs>
                <w:tab w:val="left" w:pos="709"/>
                <w:tab w:val="left" w:pos="884"/>
                <w:tab w:val="left" w:pos="1196"/>
              </w:tabs>
              <w:spacing w:before="160" w:after="120" w:line="240" w:lineRule="auto"/>
              <w:jc w:val="both"/>
              <w:rPr>
                <w:rFonts w:ascii="Times New Roman" w:hAnsi="Times New Roman"/>
                <w:bCs/>
                <w:sz w:val="26"/>
                <w:szCs w:val="26"/>
                <w:lang w:eastAsia="en-US"/>
              </w:rPr>
            </w:pPr>
            <w:r w:rsidRPr="0018134B">
              <w:rPr>
                <w:rFonts w:ascii="Times New Roman" w:hAnsi="Times New Roman"/>
                <w:bCs/>
                <w:sz w:val="26"/>
                <w:szCs w:val="26"/>
                <w:lang w:eastAsia="en-US"/>
              </w:rPr>
              <w:t>Pornind de la faptul că prevederile propuse nu modifică cadrul normativ, implementarea prezentului proiect nu implică careva măsuri suplimentare.</w:t>
            </w:r>
          </w:p>
        </w:tc>
      </w:tr>
    </w:tbl>
    <w:p w14:paraId="7E44B0DC" w14:textId="7883F928" w:rsidR="00517D8F" w:rsidRPr="0018134B" w:rsidRDefault="00517D8F" w:rsidP="001215F9">
      <w:pPr>
        <w:spacing w:after="0" w:line="240" w:lineRule="auto"/>
        <w:jc w:val="both"/>
        <w:rPr>
          <w:rFonts w:ascii="Times New Roman" w:hAnsi="Times New Roman"/>
          <w:sz w:val="26"/>
          <w:szCs w:val="26"/>
        </w:rPr>
      </w:pPr>
    </w:p>
    <w:p w14:paraId="4E22A6E9" w14:textId="77777777" w:rsidR="00517D8F" w:rsidRPr="0018134B" w:rsidRDefault="00517D8F" w:rsidP="001215F9">
      <w:pPr>
        <w:spacing w:after="0" w:line="240" w:lineRule="auto"/>
        <w:jc w:val="both"/>
        <w:rPr>
          <w:rFonts w:ascii="Times New Roman" w:hAnsi="Times New Roman"/>
          <w:b/>
          <w:bCs/>
          <w:sz w:val="26"/>
          <w:szCs w:val="26"/>
          <w:lang w:eastAsia="en-US"/>
        </w:rPr>
      </w:pPr>
      <w:r w:rsidRPr="0018134B">
        <w:rPr>
          <w:rFonts w:ascii="Times New Roman" w:hAnsi="Times New Roman"/>
          <w:b/>
          <w:bCs/>
          <w:sz w:val="26"/>
          <w:szCs w:val="26"/>
          <w:lang w:eastAsia="en-US"/>
        </w:rPr>
        <w:t xml:space="preserve">         </w:t>
      </w:r>
    </w:p>
    <w:p w14:paraId="5BCC7FC7" w14:textId="77777777" w:rsidR="00517D8F" w:rsidRPr="0018134B" w:rsidRDefault="00517D8F" w:rsidP="001215F9">
      <w:pPr>
        <w:spacing w:after="0" w:line="240" w:lineRule="auto"/>
        <w:jc w:val="both"/>
        <w:rPr>
          <w:rFonts w:ascii="Times New Roman" w:hAnsi="Times New Roman"/>
          <w:b/>
          <w:bCs/>
          <w:sz w:val="26"/>
          <w:szCs w:val="26"/>
          <w:lang w:eastAsia="en-US"/>
        </w:rPr>
      </w:pPr>
    </w:p>
    <w:p w14:paraId="79FA795A" w14:textId="226A1C4D" w:rsidR="00517D8F" w:rsidRPr="0018134B" w:rsidRDefault="00517D8F" w:rsidP="001215F9">
      <w:pPr>
        <w:spacing w:after="0" w:line="240" w:lineRule="auto"/>
        <w:ind w:firstLine="708"/>
        <w:jc w:val="both"/>
        <w:rPr>
          <w:rFonts w:ascii="Times New Roman" w:hAnsi="Times New Roman"/>
          <w:sz w:val="26"/>
          <w:szCs w:val="26"/>
        </w:rPr>
      </w:pPr>
      <w:r w:rsidRPr="0018134B">
        <w:rPr>
          <w:rFonts w:ascii="Times New Roman" w:hAnsi="Times New Roman"/>
          <w:b/>
          <w:bCs/>
          <w:sz w:val="26"/>
          <w:szCs w:val="26"/>
          <w:lang w:eastAsia="en-US"/>
        </w:rPr>
        <w:t>Ministrul energiei                                                Dorin JUNGHIETU</w:t>
      </w:r>
    </w:p>
    <w:p w14:paraId="56D5FD19" w14:textId="77777777" w:rsidR="00517D8F" w:rsidRPr="0018134B" w:rsidRDefault="00517D8F" w:rsidP="001215F9">
      <w:pPr>
        <w:spacing w:after="0" w:line="240" w:lineRule="auto"/>
        <w:jc w:val="both"/>
        <w:rPr>
          <w:rFonts w:ascii="Times New Roman" w:hAnsi="Times New Roman"/>
          <w:sz w:val="26"/>
          <w:szCs w:val="26"/>
        </w:rPr>
      </w:pPr>
    </w:p>
    <w:sectPr w:rsidR="00517D8F" w:rsidRPr="0018134B" w:rsidSect="008115C7">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1B31F" w14:textId="77777777" w:rsidR="002D4A47" w:rsidRDefault="002D4A47" w:rsidP="00EC3832">
      <w:pPr>
        <w:spacing w:after="0" w:line="240" w:lineRule="auto"/>
      </w:pPr>
      <w:r>
        <w:separator/>
      </w:r>
    </w:p>
  </w:endnote>
  <w:endnote w:type="continuationSeparator" w:id="0">
    <w:p w14:paraId="2485D813" w14:textId="77777777" w:rsidR="002D4A47" w:rsidRDefault="002D4A47" w:rsidP="00EC3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default"/>
    <w:sig w:usb0="00000000" w:usb1="0000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08A07" w14:textId="77777777" w:rsidR="002D4A47" w:rsidRDefault="002D4A47" w:rsidP="00EC3832">
      <w:pPr>
        <w:spacing w:after="0" w:line="240" w:lineRule="auto"/>
      </w:pPr>
      <w:r>
        <w:separator/>
      </w:r>
    </w:p>
  </w:footnote>
  <w:footnote w:type="continuationSeparator" w:id="0">
    <w:p w14:paraId="2E3E1665" w14:textId="77777777" w:rsidR="002D4A47" w:rsidRDefault="002D4A47" w:rsidP="00EC3832">
      <w:pPr>
        <w:spacing w:after="0" w:line="240" w:lineRule="auto"/>
      </w:pPr>
      <w:r>
        <w:continuationSeparator/>
      </w:r>
    </w:p>
  </w:footnote>
  <w:footnote w:id="1">
    <w:p w14:paraId="13C99B26" w14:textId="77777777" w:rsidR="009D3ABB" w:rsidRPr="00FC2592" w:rsidRDefault="009D3ABB" w:rsidP="009D3ABB">
      <w:pPr>
        <w:pStyle w:val="FootnoteText"/>
        <w:rPr>
          <w:lang w:val="ro-RO"/>
        </w:rPr>
      </w:pPr>
      <w:r>
        <w:rPr>
          <w:rStyle w:val="FootnoteReference"/>
        </w:rPr>
        <w:footnoteRef/>
      </w:r>
      <w:r w:rsidRPr="0013229C">
        <w:rPr>
          <w:lang w:val="es-ES"/>
        </w:rPr>
        <w:t xml:space="preserve"> </w:t>
      </w:r>
      <w:r>
        <w:rPr>
          <w:lang w:val="ro-RO"/>
        </w:rPr>
        <w:t>Raportul de activitate al ANRE pentru anul 2023, tabelul 17, pag. 12 și pag. 45-48.</w:t>
      </w:r>
    </w:p>
  </w:footnote>
  <w:footnote w:id="2">
    <w:p w14:paraId="3851B003" w14:textId="77777777" w:rsidR="009D3ABB" w:rsidRPr="007377D2" w:rsidRDefault="009D3ABB" w:rsidP="009D3ABB">
      <w:pPr>
        <w:pStyle w:val="FootnoteText"/>
        <w:rPr>
          <w:lang w:val="ro-RO"/>
        </w:rPr>
      </w:pPr>
      <w:r>
        <w:rPr>
          <w:rStyle w:val="FootnoteReference"/>
        </w:rPr>
        <w:footnoteRef/>
      </w:r>
      <w:r w:rsidRPr="0013229C">
        <w:rPr>
          <w:lang w:val="es-ES"/>
        </w:rPr>
        <w:t xml:space="preserve"> </w:t>
      </w:r>
      <w:r w:rsidRPr="00EE635D">
        <w:rPr>
          <w:lang w:val="ro-RO"/>
        </w:rPr>
        <w:t>Capitolul</w:t>
      </w:r>
      <w:r w:rsidRPr="0013229C">
        <w:rPr>
          <w:lang w:val="es-ES"/>
        </w:rPr>
        <w:t xml:space="preserve"> 2.3. din </w:t>
      </w:r>
      <w:r w:rsidRPr="007377D2">
        <w:rPr>
          <w:lang w:val="ro-RO"/>
        </w:rPr>
        <w:t>Nota conceptuală cu privire la inițierea elaborării Conceptului privind gestionarea rețelelor de gaze naturale care aparțin proprietarilor persoane terțe şi fără proprietar,</w:t>
      </w:r>
      <w:r>
        <w:rPr>
          <w:lang w:val="ro-RO"/>
        </w:rPr>
        <w:t xml:space="preserve"> disponibil pe </w:t>
      </w:r>
      <w:r w:rsidRPr="003F7E4A">
        <w:rPr>
          <w:lang w:val="ro-RO"/>
        </w:rPr>
        <w:t>https://energie.gov.md/sites/default/files/nota_conceptuala_gazoducte_semnata_04.03.2024.pdf</w:t>
      </w:r>
      <w:r>
        <w:rPr>
          <w:lang w:val="ro-RO"/>
        </w:rPr>
        <w:t xml:space="preserve"> </w:t>
      </w:r>
    </w:p>
  </w:footnote>
  <w:footnote w:id="3">
    <w:p w14:paraId="77F98BC9" w14:textId="2ED92AF2" w:rsidR="008F4298" w:rsidRPr="00B06B1A" w:rsidRDefault="008F4298" w:rsidP="008F4298">
      <w:pPr>
        <w:pStyle w:val="FootnoteText"/>
        <w:jc w:val="both"/>
        <w:rPr>
          <w:lang w:val="ro-RO"/>
        </w:rPr>
      </w:pPr>
      <w:r w:rsidRPr="00B06B1A">
        <w:rPr>
          <w:rStyle w:val="FootnoteReference"/>
          <w:lang w:val="ro-RO"/>
        </w:rPr>
        <w:footnoteRef/>
      </w:r>
      <w:r w:rsidRPr="00B06B1A">
        <w:rPr>
          <w:lang w:val="ro-RO"/>
        </w:rPr>
        <w:t xml:space="preserve"> Punctele 19 şi 20 din Regulamentul privind modul de transmitere a reţelelor de gaze întreprinderilor de gaze ale Societăţii pe Acţiuni „Moldovagaz” la deservire tehnică, aprobat prin Hotărârea Guvernului nr. 683/2004; pct. 18 subpct. 5) din Metodologia tarifelor pentru transportul gazelor naturale, aprobată prin Hotărârea ANRE nr. 535/2019; pct. 21 subpct. 6) din Metodologia de calculare, aprobare și aplicare a tarifelor reglementate pentru serviciul de distribuție a gazelor naturale, aprobată prin Hotărârea ANRE nr. 443/2020.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77246"/>
    <w:multiLevelType w:val="multilevel"/>
    <w:tmpl w:val="4B42733E"/>
    <w:lvl w:ilvl="0">
      <w:start w:val="2"/>
      <w:numFmt w:val="decimal"/>
      <w:lvlText w:val="%1."/>
      <w:lvlJc w:val="left"/>
      <w:pPr>
        <w:ind w:left="6031" w:hanging="360"/>
      </w:pPr>
      <w:rPr>
        <w:rFonts w:ascii="Times New Roman" w:eastAsia="Times New Roman" w:hAnsi="Times New Roman" w:cs="Times New Roman"/>
        <w:sz w:val="28"/>
        <w:szCs w:val="32"/>
      </w:rPr>
    </w:lvl>
    <w:lvl w:ilvl="1">
      <w:start w:val="1"/>
      <w:numFmt w:val="decimal"/>
      <w:lvlText w:val="%1.%2."/>
      <w:lvlJc w:val="left"/>
      <w:pPr>
        <w:ind w:left="1080" w:hanging="360"/>
      </w:pPr>
      <w:rPr>
        <w:b/>
        <w:i w:val="0"/>
        <w:iCs/>
        <w:sz w:val="28"/>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 w15:restartNumberingAfterBreak="0">
    <w:nsid w:val="09856011"/>
    <w:multiLevelType w:val="hybridMultilevel"/>
    <w:tmpl w:val="5C7EE392"/>
    <w:lvl w:ilvl="0" w:tplc="48DA3F1A">
      <w:start w:val="2"/>
      <w:numFmt w:val="bullet"/>
      <w:lvlText w:val="-"/>
      <w:lvlJc w:val="left"/>
      <w:pPr>
        <w:ind w:left="720" w:hanging="360"/>
      </w:pPr>
      <w:rPr>
        <w:rFonts w:ascii="Times New Roman" w:eastAsiaTheme="minorHAnsi"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461588"/>
    <w:multiLevelType w:val="hybridMultilevel"/>
    <w:tmpl w:val="6464EEC6"/>
    <w:lvl w:ilvl="0" w:tplc="C34CDC7E">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D25FE"/>
    <w:multiLevelType w:val="hybridMultilevel"/>
    <w:tmpl w:val="2778795C"/>
    <w:lvl w:ilvl="0" w:tplc="BD0AC57E">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862EA"/>
    <w:multiLevelType w:val="hybridMultilevel"/>
    <w:tmpl w:val="A5D464C0"/>
    <w:lvl w:ilvl="0" w:tplc="878EC374">
      <w:start w:val="1"/>
      <w:numFmt w:val="upperRoman"/>
      <w:lvlText w:val="%1."/>
      <w:lvlJc w:val="right"/>
      <w:pPr>
        <w:ind w:left="720" w:hanging="360"/>
      </w:pPr>
      <w:rPr>
        <w:rFonts w:hint="default"/>
        <w:b/>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43B54F7"/>
    <w:multiLevelType w:val="hybridMultilevel"/>
    <w:tmpl w:val="46FA787A"/>
    <w:lvl w:ilvl="0" w:tplc="3D86BBD6">
      <w:start w:val="1"/>
      <w:numFmt w:val="decimal"/>
      <w:lvlText w:val="%1)"/>
      <w:lvlJc w:val="left"/>
      <w:pPr>
        <w:ind w:left="720" w:hanging="360"/>
      </w:pPr>
      <w:rPr>
        <w:rFonts w:hint="default"/>
        <w:lang w:val="ro-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321803"/>
    <w:multiLevelType w:val="hybridMultilevel"/>
    <w:tmpl w:val="8E6EA83A"/>
    <w:lvl w:ilvl="0" w:tplc="BBFC31D8">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D208F"/>
    <w:multiLevelType w:val="hybridMultilevel"/>
    <w:tmpl w:val="C17C4410"/>
    <w:lvl w:ilvl="0" w:tplc="AE42BBE8">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8B06A7"/>
    <w:multiLevelType w:val="hybridMultilevel"/>
    <w:tmpl w:val="72EC553A"/>
    <w:lvl w:ilvl="0" w:tplc="5A283026">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5B70F1"/>
    <w:multiLevelType w:val="hybridMultilevel"/>
    <w:tmpl w:val="58DC73E2"/>
    <w:lvl w:ilvl="0" w:tplc="2CD0B5B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52B73951"/>
    <w:multiLevelType w:val="hybridMultilevel"/>
    <w:tmpl w:val="0D310D8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A5B2FDD"/>
    <w:multiLevelType w:val="hybridMultilevel"/>
    <w:tmpl w:val="D34224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E25E66"/>
    <w:multiLevelType w:val="hybridMultilevel"/>
    <w:tmpl w:val="FEBAE092"/>
    <w:lvl w:ilvl="0" w:tplc="48DA3F1A">
      <w:start w:val="2"/>
      <w:numFmt w:val="bullet"/>
      <w:lvlText w:val="-"/>
      <w:lvlJc w:val="left"/>
      <w:pPr>
        <w:ind w:left="720" w:hanging="360"/>
      </w:pPr>
      <w:rPr>
        <w:rFonts w:ascii="Times New Roman" w:eastAsiaTheme="minorHAnsi"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BD23CE"/>
    <w:multiLevelType w:val="hybridMultilevel"/>
    <w:tmpl w:val="975C3B24"/>
    <w:lvl w:ilvl="0" w:tplc="50DA18BA">
      <w:start w:val="1"/>
      <w:numFmt w:val="decimal"/>
      <w:lvlText w:val="%1)"/>
      <w:lvlJc w:val="left"/>
      <w:pPr>
        <w:ind w:left="1440" w:hanging="360"/>
      </w:pPr>
      <w:rPr>
        <w:rFonts w:ascii="Times New Roman" w:eastAsia="Times New Roman" w:hAnsi="Times New Roman" w:cs="Times New Roman"/>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4"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5" w15:restartNumberingAfterBreak="0">
    <w:nsid w:val="713A112B"/>
    <w:multiLevelType w:val="hybridMultilevel"/>
    <w:tmpl w:val="CC382A8A"/>
    <w:lvl w:ilvl="0" w:tplc="B43E4D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123792">
    <w:abstractNumId w:val="4"/>
  </w:num>
  <w:num w:numId="2" w16cid:durableId="1157111902">
    <w:abstractNumId w:val="9"/>
  </w:num>
  <w:num w:numId="3" w16cid:durableId="1546988766">
    <w:abstractNumId w:val="14"/>
  </w:num>
  <w:num w:numId="4" w16cid:durableId="919871784">
    <w:abstractNumId w:val="1"/>
  </w:num>
  <w:num w:numId="5" w16cid:durableId="107747808">
    <w:abstractNumId w:val="0"/>
  </w:num>
  <w:num w:numId="6" w16cid:durableId="1719235299">
    <w:abstractNumId w:val="13"/>
  </w:num>
  <w:num w:numId="7" w16cid:durableId="1733772296">
    <w:abstractNumId w:val="12"/>
  </w:num>
  <w:num w:numId="8" w16cid:durableId="1745451430">
    <w:abstractNumId w:val="11"/>
  </w:num>
  <w:num w:numId="9" w16cid:durableId="1484005321">
    <w:abstractNumId w:val="3"/>
  </w:num>
  <w:num w:numId="10" w16cid:durableId="2016030175">
    <w:abstractNumId w:val="8"/>
  </w:num>
  <w:num w:numId="11" w16cid:durableId="1527520388">
    <w:abstractNumId w:val="6"/>
  </w:num>
  <w:num w:numId="12" w16cid:durableId="1789162810">
    <w:abstractNumId w:val="2"/>
  </w:num>
  <w:num w:numId="13" w16cid:durableId="383144077">
    <w:abstractNumId w:val="10"/>
  </w:num>
  <w:num w:numId="14" w16cid:durableId="1772973691">
    <w:abstractNumId w:val="7"/>
  </w:num>
  <w:num w:numId="15" w16cid:durableId="709761787">
    <w:abstractNumId w:val="5"/>
  </w:num>
  <w:num w:numId="16" w16cid:durableId="10197037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E87"/>
    <w:rsid w:val="000532A4"/>
    <w:rsid w:val="00093182"/>
    <w:rsid w:val="000976C0"/>
    <w:rsid w:val="000A70ED"/>
    <w:rsid w:val="000B3073"/>
    <w:rsid w:val="000C0832"/>
    <w:rsid w:val="000C092E"/>
    <w:rsid w:val="000D07D6"/>
    <w:rsid w:val="000F5562"/>
    <w:rsid w:val="000F5AB9"/>
    <w:rsid w:val="00117A5D"/>
    <w:rsid w:val="001215F9"/>
    <w:rsid w:val="00121982"/>
    <w:rsid w:val="0012371A"/>
    <w:rsid w:val="00156127"/>
    <w:rsid w:val="0018134B"/>
    <w:rsid w:val="001979E1"/>
    <w:rsid w:val="001A0D6F"/>
    <w:rsid w:val="001F2589"/>
    <w:rsid w:val="002104F3"/>
    <w:rsid w:val="002362E4"/>
    <w:rsid w:val="00247CC8"/>
    <w:rsid w:val="0025723F"/>
    <w:rsid w:val="00261454"/>
    <w:rsid w:val="002622EE"/>
    <w:rsid w:val="002657EE"/>
    <w:rsid w:val="00276238"/>
    <w:rsid w:val="002845E2"/>
    <w:rsid w:val="002A3D1A"/>
    <w:rsid w:val="002A41CC"/>
    <w:rsid w:val="002B3F53"/>
    <w:rsid w:val="002B6FCB"/>
    <w:rsid w:val="002D4A47"/>
    <w:rsid w:val="002D55B7"/>
    <w:rsid w:val="003275C3"/>
    <w:rsid w:val="003343EE"/>
    <w:rsid w:val="00334BA6"/>
    <w:rsid w:val="0034491D"/>
    <w:rsid w:val="0038043E"/>
    <w:rsid w:val="00380BAB"/>
    <w:rsid w:val="003B04D4"/>
    <w:rsid w:val="003C30EB"/>
    <w:rsid w:val="003C6BF8"/>
    <w:rsid w:val="00412A01"/>
    <w:rsid w:val="00423371"/>
    <w:rsid w:val="00424D30"/>
    <w:rsid w:val="0044098F"/>
    <w:rsid w:val="00447A8D"/>
    <w:rsid w:val="00453BCB"/>
    <w:rsid w:val="00455C48"/>
    <w:rsid w:val="0047445B"/>
    <w:rsid w:val="004753D6"/>
    <w:rsid w:val="00476687"/>
    <w:rsid w:val="00483BB3"/>
    <w:rsid w:val="00496492"/>
    <w:rsid w:val="004B000C"/>
    <w:rsid w:val="004B4F71"/>
    <w:rsid w:val="004C30AE"/>
    <w:rsid w:val="00517D8F"/>
    <w:rsid w:val="0052775C"/>
    <w:rsid w:val="00531042"/>
    <w:rsid w:val="005467F4"/>
    <w:rsid w:val="005A219B"/>
    <w:rsid w:val="005D3D48"/>
    <w:rsid w:val="00605606"/>
    <w:rsid w:val="006107A3"/>
    <w:rsid w:val="006806CF"/>
    <w:rsid w:val="00683449"/>
    <w:rsid w:val="0068433F"/>
    <w:rsid w:val="006937FB"/>
    <w:rsid w:val="00696A69"/>
    <w:rsid w:val="006B5F60"/>
    <w:rsid w:val="006C0B77"/>
    <w:rsid w:val="006C3F49"/>
    <w:rsid w:val="006D1F53"/>
    <w:rsid w:val="006D2867"/>
    <w:rsid w:val="006D3F83"/>
    <w:rsid w:val="00721F55"/>
    <w:rsid w:val="0073567C"/>
    <w:rsid w:val="007407B7"/>
    <w:rsid w:val="00764CDF"/>
    <w:rsid w:val="00772F84"/>
    <w:rsid w:val="0079339E"/>
    <w:rsid w:val="007C51A2"/>
    <w:rsid w:val="007D6923"/>
    <w:rsid w:val="007E32A1"/>
    <w:rsid w:val="008115C7"/>
    <w:rsid w:val="008242FF"/>
    <w:rsid w:val="008363FC"/>
    <w:rsid w:val="00853CCB"/>
    <w:rsid w:val="00854299"/>
    <w:rsid w:val="00860DA1"/>
    <w:rsid w:val="00870751"/>
    <w:rsid w:val="00873DD8"/>
    <w:rsid w:val="008922EC"/>
    <w:rsid w:val="008B522A"/>
    <w:rsid w:val="008D6042"/>
    <w:rsid w:val="008E32AF"/>
    <w:rsid w:val="008F4298"/>
    <w:rsid w:val="00922AF9"/>
    <w:rsid w:val="00922C48"/>
    <w:rsid w:val="009529EF"/>
    <w:rsid w:val="009672F7"/>
    <w:rsid w:val="009872D3"/>
    <w:rsid w:val="009A77F4"/>
    <w:rsid w:val="009B1DF3"/>
    <w:rsid w:val="009D331F"/>
    <w:rsid w:val="009D3ABB"/>
    <w:rsid w:val="00A27164"/>
    <w:rsid w:val="00A43960"/>
    <w:rsid w:val="00A47C33"/>
    <w:rsid w:val="00A53910"/>
    <w:rsid w:val="00A63EF2"/>
    <w:rsid w:val="00AB5E70"/>
    <w:rsid w:val="00AB7A11"/>
    <w:rsid w:val="00AD30D4"/>
    <w:rsid w:val="00B06B1A"/>
    <w:rsid w:val="00B47E87"/>
    <w:rsid w:val="00B802ED"/>
    <w:rsid w:val="00B915B7"/>
    <w:rsid w:val="00BA3DED"/>
    <w:rsid w:val="00BB015D"/>
    <w:rsid w:val="00BD00D8"/>
    <w:rsid w:val="00BE198F"/>
    <w:rsid w:val="00BE72B9"/>
    <w:rsid w:val="00C10DD1"/>
    <w:rsid w:val="00C155DD"/>
    <w:rsid w:val="00C17676"/>
    <w:rsid w:val="00C24D40"/>
    <w:rsid w:val="00C47FB8"/>
    <w:rsid w:val="00C532B9"/>
    <w:rsid w:val="00C877F9"/>
    <w:rsid w:val="00CC37BC"/>
    <w:rsid w:val="00CC5E65"/>
    <w:rsid w:val="00D1507A"/>
    <w:rsid w:val="00D367C3"/>
    <w:rsid w:val="00D63CAF"/>
    <w:rsid w:val="00D65487"/>
    <w:rsid w:val="00D709CA"/>
    <w:rsid w:val="00D84CC6"/>
    <w:rsid w:val="00D97A36"/>
    <w:rsid w:val="00DE2C29"/>
    <w:rsid w:val="00E17095"/>
    <w:rsid w:val="00E254D5"/>
    <w:rsid w:val="00E3032F"/>
    <w:rsid w:val="00E64488"/>
    <w:rsid w:val="00E90B32"/>
    <w:rsid w:val="00EA59DF"/>
    <w:rsid w:val="00EC3832"/>
    <w:rsid w:val="00EE4070"/>
    <w:rsid w:val="00F0117A"/>
    <w:rsid w:val="00F02F8A"/>
    <w:rsid w:val="00F04E02"/>
    <w:rsid w:val="00F066FA"/>
    <w:rsid w:val="00F12C76"/>
    <w:rsid w:val="00F47B94"/>
    <w:rsid w:val="00F67277"/>
    <w:rsid w:val="00FB27CF"/>
    <w:rsid w:val="00FD7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57425"/>
  <w15:chartTrackingRefBased/>
  <w15:docId w15:val="{FE21C8F0-1E06-47E1-97C0-41921ECDD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32F"/>
    <w:pPr>
      <w:spacing w:after="200" w:line="276" w:lineRule="auto"/>
    </w:pPr>
    <w:rPr>
      <w:rFonts w:ascii="Calibri" w:eastAsia="Times New Roman" w:hAnsi="Calibri" w:cs="Times New Roman"/>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nhideWhenUsed/>
    <w:rsid w:val="00811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ru-RU" w:eastAsia="ru-RU"/>
    </w:rPr>
  </w:style>
  <w:style w:type="character" w:customStyle="1" w:styleId="HTMLPreformattedChar">
    <w:name w:val="HTML Preformatted Char"/>
    <w:basedOn w:val="DefaultParagraphFont"/>
    <w:link w:val="HTMLPreformatted"/>
    <w:rsid w:val="008115C7"/>
    <w:rPr>
      <w:rFonts w:ascii="Courier New" w:eastAsia="Calibri" w:hAnsi="Courier New" w:cs="Courier New"/>
      <w:sz w:val="20"/>
      <w:szCs w:val="20"/>
      <w:lang w:eastAsia="ru-RU"/>
    </w:rPr>
  </w:style>
  <w:style w:type="paragraph" w:styleId="ListParagraph">
    <w:name w:val="List Paragraph"/>
    <w:aliases w:val="List Paragraph 1,Bullets,List Paragraph (numbered (a)),Numbered Paragraph,Main numbered paragraph,List_Paragraph,Multilevel para_II,List Paragraph1,Akapit z listą BS,Bullet1,Numbered list"/>
    <w:basedOn w:val="Normal"/>
    <w:link w:val="ListParagraphChar"/>
    <w:qFormat/>
    <w:rsid w:val="008115C7"/>
    <w:pPr>
      <w:ind w:left="720"/>
      <w:contextualSpacing/>
    </w:pPr>
  </w:style>
  <w:style w:type="paragraph" w:styleId="BodyTextIndent">
    <w:name w:val="Body Text Indent"/>
    <w:basedOn w:val="Normal"/>
    <w:link w:val="BodyTextIndentChar"/>
    <w:rsid w:val="008115C7"/>
    <w:pPr>
      <w:autoSpaceDE w:val="0"/>
      <w:autoSpaceDN w:val="0"/>
      <w:spacing w:after="0" w:line="240" w:lineRule="auto"/>
      <w:ind w:firstLine="540"/>
      <w:jc w:val="both"/>
    </w:pPr>
    <w:rPr>
      <w:rFonts w:ascii="Times New Roman" w:hAnsi="Times New Roman" w:cs="Arial"/>
      <w:sz w:val="28"/>
      <w:szCs w:val="20"/>
      <w:lang w:eastAsia="ru-RU"/>
    </w:rPr>
  </w:style>
  <w:style w:type="character" w:customStyle="1" w:styleId="BodyTextIndentChar">
    <w:name w:val="Body Text Indent Char"/>
    <w:basedOn w:val="DefaultParagraphFont"/>
    <w:link w:val="BodyTextIndent"/>
    <w:rsid w:val="008115C7"/>
    <w:rPr>
      <w:rFonts w:ascii="Times New Roman" w:eastAsia="Times New Roman" w:hAnsi="Times New Roman" w:cs="Arial"/>
      <w:sz w:val="28"/>
      <w:szCs w:val="20"/>
      <w:lang w:val="ro-RO" w:eastAsia="ru-RU"/>
    </w:rPr>
  </w:style>
  <w:style w:type="paragraph" w:styleId="NormalWeb">
    <w:name w:val="Normal (Web)"/>
    <w:aliases w:val="Знак,webb, Знак"/>
    <w:basedOn w:val="Normal"/>
    <w:link w:val="NormalWebChar"/>
    <w:uiPriority w:val="99"/>
    <w:unhideWhenUsed/>
    <w:qFormat/>
    <w:rsid w:val="00EC3832"/>
    <w:pPr>
      <w:spacing w:after="0" w:line="240" w:lineRule="auto"/>
      <w:ind w:firstLine="567"/>
      <w:jc w:val="both"/>
    </w:pPr>
    <w:rPr>
      <w:rFonts w:ascii="Times New Roman" w:eastAsiaTheme="minorEastAsia" w:hAnsi="Times New Roman"/>
      <w:sz w:val="24"/>
      <w:szCs w:val="24"/>
      <w:lang w:val="en-US" w:eastAsia="en-US"/>
    </w:rPr>
  </w:style>
  <w:style w:type="paragraph" w:styleId="NoSpacing">
    <w:name w:val="No Spacing"/>
    <w:uiPriority w:val="1"/>
    <w:qFormat/>
    <w:rsid w:val="00EC3832"/>
    <w:pPr>
      <w:spacing w:after="0" w:line="240" w:lineRule="auto"/>
    </w:pPr>
    <w:rPr>
      <w:rFonts w:ascii="Calibri" w:eastAsia="Calibri" w:hAnsi="Calibri" w:cs="Times New Roman"/>
      <w:lang w:val="ro-RO"/>
    </w:rPr>
  </w:style>
  <w:style w:type="character" w:customStyle="1" w:styleId="NormalWebChar">
    <w:name w:val="Normal (Web) Char"/>
    <w:aliases w:val="Знак Char,webb Char, Знак Char"/>
    <w:link w:val="NormalWeb"/>
    <w:uiPriority w:val="99"/>
    <w:rsid w:val="00EC3832"/>
    <w:rPr>
      <w:rFonts w:ascii="Times New Roman" w:eastAsiaTheme="minorEastAsia" w:hAnsi="Times New Roman" w:cs="Times New Roman"/>
      <w:sz w:val="24"/>
      <w:szCs w:val="24"/>
      <w:lang w:val="en-US"/>
    </w:rPr>
  </w:style>
  <w:style w:type="character" w:customStyle="1" w:styleId="ListParagraphChar">
    <w:name w:val="List Paragraph Char"/>
    <w:aliases w:val="List Paragraph 1 Char,Bullets Char,List Paragraph (numbered (a)) Char,Numbered Paragraph Char,Main numbered paragraph Char,List_Paragraph Char,Multilevel para_II Char,List Paragraph1 Char,Akapit z listą BS Char,Bullet1 Char"/>
    <w:link w:val="ListParagraph"/>
    <w:locked/>
    <w:rsid w:val="00EC3832"/>
    <w:rPr>
      <w:rFonts w:ascii="Calibri" w:eastAsia="Times New Roman" w:hAnsi="Calibri" w:cs="Times New Roman"/>
      <w:lang w:val="ro-RO" w:eastAsia="ro-RO"/>
    </w:rPr>
  </w:style>
  <w:style w:type="paragraph" w:styleId="FootnoteText">
    <w:name w:val="footnote text"/>
    <w:basedOn w:val="Normal"/>
    <w:link w:val="FootnoteTextChar"/>
    <w:uiPriority w:val="99"/>
    <w:semiHidden/>
    <w:unhideWhenUsed/>
    <w:rsid w:val="00EC3832"/>
    <w:pPr>
      <w:spacing w:after="0" w:line="240" w:lineRule="auto"/>
    </w:pPr>
    <w:rPr>
      <w:rFonts w:ascii="Times New Roman" w:eastAsiaTheme="minorEastAsia" w:hAnsi="Times New Roman"/>
      <w:sz w:val="20"/>
      <w:szCs w:val="20"/>
      <w:lang w:val="en-US" w:eastAsia="en-US"/>
    </w:rPr>
  </w:style>
  <w:style w:type="character" w:customStyle="1" w:styleId="FootnoteTextChar">
    <w:name w:val="Footnote Text Char"/>
    <w:basedOn w:val="DefaultParagraphFont"/>
    <w:link w:val="FootnoteText"/>
    <w:uiPriority w:val="99"/>
    <w:semiHidden/>
    <w:rsid w:val="00EC3832"/>
    <w:rPr>
      <w:rFonts w:ascii="Times New Roman" w:eastAsiaTheme="minorEastAsia" w:hAnsi="Times New Roman" w:cs="Times New Roman"/>
      <w:sz w:val="20"/>
      <w:szCs w:val="20"/>
      <w:lang w:val="en-US"/>
    </w:rPr>
  </w:style>
  <w:style w:type="character" w:styleId="FootnoteReference">
    <w:name w:val="footnote reference"/>
    <w:basedOn w:val="DefaultParagraphFont"/>
    <w:uiPriority w:val="99"/>
    <w:semiHidden/>
    <w:unhideWhenUsed/>
    <w:rsid w:val="00EC3832"/>
    <w:rPr>
      <w:vertAlign w:val="superscript"/>
    </w:rPr>
  </w:style>
  <w:style w:type="character" w:styleId="CommentReference">
    <w:name w:val="annotation reference"/>
    <w:basedOn w:val="DefaultParagraphFont"/>
    <w:uiPriority w:val="99"/>
    <w:semiHidden/>
    <w:unhideWhenUsed/>
    <w:rsid w:val="000F5562"/>
    <w:rPr>
      <w:sz w:val="16"/>
      <w:szCs w:val="16"/>
    </w:rPr>
  </w:style>
  <w:style w:type="paragraph" w:styleId="CommentText">
    <w:name w:val="annotation text"/>
    <w:basedOn w:val="Normal"/>
    <w:link w:val="CommentTextChar"/>
    <w:uiPriority w:val="99"/>
    <w:unhideWhenUsed/>
    <w:rsid w:val="000F5562"/>
    <w:pPr>
      <w:spacing w:line="240" w:lineRule="auto"/>
    </w:pPr>
    <w:rPr>
      <w:sz w:val="20"/>
      <w:szCs w:val="20"/>
    </w:rPr>
  </w:style>
  <w:style w:type="character" w:customStyle="1" w:styleId="CommentTextChar">
    <w:name w:val="Comment Text Char"/>
    <w:basedOn w:val="DefaultParagraphFont"/>
    <w:link w:val="CommentText"/>
    <w:uiPriority w:val="99"/>
    <w:rsid w:val="000F5562"/>
    <w:rPr>
      <w:rFonts w:ascii="Calibri" w:eastAsia="Times New Roman" w:hAnsi="Calibri"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0F5562"/>
    <w:rPr>
      <w:b/>
      <w:bCs/>
    </w:rPr>
  </w:style>
  <w:style w:type="character" w:customStyle="1" w:styleId="CommentSubjectChar">
    <w:name w:val="Comment Subject Char"/>
    <w:basedOn w:val="CommentTextChar"/>
    <w:link w:val="CommentSubject"/>
    <w:uiPriority w:val="99"/>
    <w:semiHidden/>
    <w:rsid w:val="000F5562"/>
    <w:rPr>
      <w:rFonts w:ascii="Calibri" w:eastAsia="Times New Roman" w:hAnsi="Calibri" w:cs="Times New Roman"/>
      <w:b/>
      <w:bCs/>
      <w:sz w:val="20"/>
      <w:szCs w:val="20"/>
      <w:lang w:val="ro-RO" w:eastAsia="ro-RO"/>
    </w:rPr>
  </w:style>
  <w:style w:type="paragraph" w:styleId="BalloonText">
    <w:name w:val="Balloon Text"/>
    <w:basedOn w:val="Normal"/>
    <w:link w:val="BalloonTextChar"/>
    <w:uiPriority w:val="99"/>
    <w:semiHidden/>
    <w:unhideWhenUsed/>
    <w:rsid w:val="000F55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562"/>
    <w:rPr>
      <w:rFonts w:ascii="Segoe UI" w:eastAsia="Times New Roman" w:hAnsi="Segoe UI" w:cs="Segoe UI"/>
      <w:sz w:val="18"/>
      <w:szCs w:val="18"/>
      <w:lang w:val="ro-RO" w:eastAsia="ro-RO"/>
    </w:rPr>
  </w:style>
  <w:style w:type="character" w:styleId="Hyperlink">
    <w:name w:val="Hyperlink"/>
    <w:basedOn w:val="DefaultParagraphFont"/>
    <w:uiPriority w:val="99"/>
    <w:unhideWhenUsed/>
    <w:rsid w:val="009872D3"/>
    <w:rPr>
      <w:color w:val="0563C1" w:themeColor="hyperlink"/>
      <w:u w:val="single"/>
    </w:rPr>
  </w:style>
  <w:style w:type="paragraph" w:customStyle="1" w:styleId="Default">
    <w:name w:val="Default"/>
    <w:rsid w:val="00F67277"/>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1998091713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articip.gov.md" TargetMode="External"/><Relationship Id="rId4" Type="http://schemas.openxmlformats.org/officeDocument/2006/relationships/settings" Target="settings.xml"/><Relationship Id="rId9" Type="http://schemas.openxmlformats.org/officeDocument/2006/relationships/hyperlink" Target="lex:HGHG2001122814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6DFA9-E461-4821-95DE-082BE0E43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3498</Words>
  <Characters>19941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Savca</dc:creator>
  <cp:keywords/>
  <dc:description/>
  <cp:lastModifiedBy>Nolina Pomparau</cp:lastModifiedBy>
  <cp:revision>2</cp:revision>
  <dcterms:created xsi:type="dcterms:W3CDTF">2025-05-15T13:11:00Z</dcterms:created>
  <dcterms:modified xsi:type="dcterms:W3CDTF">2025-05-15T13:11:00Z</dcterms:modified>
</cp:coreProperties>
</file>