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A46F" w14:textId="77777777" w:rsidR="00177035" w:rsidRPr="00177035" w:rsidRDefault="00177035"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r w:rsidRPr="00177035">
        <w:rPr>
          <w:b/>
          <w:sz w:val="24"/>
          <w:szCs w:val="24"/>
          <w:lang w:val="ro-RO"/>
        </w:rPr>
        <w:t>Tabelul comparativ</w:t>
      </w:r>
    </w:p>
    <w:p w14:paraId="27191735" w14:textId="77777777" w:rsidR="00177035" w:rsidRDefault="00177035" w:rsidP="00177035">
      <w:pPr>
        <w:pBdr>
          <w:top w:val="none" w:sz="4" w:space="0" w:color="000000"/>
          <w:left w:val="none" w:sz="4" w:space="0" w:color="000000"/>
          <w:bottom w:val="none" w:sz="4" w:space="0" w:color="000000"/>
          <w:right w:val="none" w:sz="4" w:space="0" w:color="000000"/>
        </w:pBdr>
        <w:ind w:firstLine="0"/>
        <w:jc w:val="center"/>
        <w:rPr>
          <w:b/>
          <w:sz w:val="24"/>
          <w:szCs w:val="24"/>
          <w:lang w:val="ro-RO"/>
        </w:rPr>
      </w:pPr>
      <w:r w:rsidRPr="00177035">
        <w:rPr>
          <w:b/>
          <w:sz w:val="24"/>
          <w:szCs w:val="24"/>
          <w:lang w:val="ro-RO"/>
        </w:rPr>
        <w:t xml:space="preserve">la proiectul </w:t>
      </w:r>
    </w:p>
    <w:p w14:paraId="5E9D8CB6" w14:textId="77777777" w:rsidR="00A3450B" w:rsidRPr="00177035" w:rsidRDefault="00A3450B" w:rsidP="00177035">
      <w:pPr>
        <w:pBdr>
          <w:top w:val="none" w:sz="4" w:space="0" w:color="000000"/>
          <w:left w:val="none" w:sz="4" w:space="0" w:color="000000"/>
          <w:bottom w:val="none" w:sz="4" w:space="0" w:color="000000"/>
          <w:right w:val="none" w:sz="4" w:space="0" w:color="000000"/>
        </w:pBdr>
        <w:ind w:firstLine="0"/>
        <w:jc w:val="center"/>
        <w:rPr>
          <w:sz w:val="24"/>
          <w:szCs w:val="24"/>
          <w:lang w:val="ro-RO"/>
        </w:rPr>
      </w:pPr>
    </w:p>
    <w:p w14:paraId="2EEECF7B" w14:textId="4C476E94" w:rsidR="00177035" w:rsidRPr="00177035" w:rsidRDefault="003B797C" w:rsidP="0060760B">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Pr>
          <w:sz w:val="24"/>
          <w:szCs w:val="24"/>
          <w:lang w:val="ro-RO"/>
        </w:rPr>
        <w:t>p</w:t>
      </w:r>
      <w:r w:rsidRPr="003B797C">
        <w:rPr>
          <w:sz w:val="24"/>
          <w:szCs w:val="24"/>
          <w:lang w:val="ro-RO"/>
        </w:rPr>
        <w:t>rivind modificarea Hotărârii Guvernului nr. 401/2021 cu privire la aprobarea limitelor de capacitate, a cotelor maxime și a categoriilor de capacitate în domeniul energiei electrice din surse regenerabile valabile până la data de 31 decembrie 2025</w:t>
      </w:r>
      <w:r w:rsidR="00B57F24">
        <w:rPr>
          <w:sz w:val="24"/>
          <w:szCs w:val="24"/>
          <w:lang w:val="ro-RO"/>
        </w:rPr>
        <w:br/>
      </w:r>
    </w:p>
    <w:tbl>
      <w:tblPr>
        <w:tblStyle w:val="TableGrid"/>
        <w:tblW w:w="10404" w:type="dxa"/>
        <w:tblInd w:w="-100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5529"/>
        <w:gridCol w:w="4875"/>
      </w:tblGrid>
      <w:tr w:rsidR="0060760B" w:rsidRPr="00177035" w14:paraId="29BCF5A0" w14:textId="77777777" w:rsidTr="00B57F24">
        <w:tc>
          <w:tcPr>
            <w:tcW w:w="55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A9A7BAD" w14:textId="77777777" w:rsidR="0060760B" w:rsidRPr="00177035" w:rsidRDefault="0060760B"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Conținutul normei în vigoare</w:t>
            </w:r>
          </w:p>
        </w:tc>
        <w:tc>
          <w:tcPr>
            <w:tcW w:w="4875"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9D84ADD" w14:textId="77777777" w:rsidR="0060760B" w:rsidRPr="00177035" w:rsidRDefault="0060760B" w:rsidP="005D3189">
            <w:pPr>
              <w:pBdr>
                <w:top w:val="none" w:sz="4" w:space="0" w:color="000000"/>
                <w:left w:val="none" w:sz="4" w:space="0" w:color="000000"/>
                <w:bottom w:val="none" w:sz="4" w:space="0" w:color="000000"/>
                <w:right w:val="none" w:sz="4" w:space="0" w:color="000000"/>
              </w:pBdr>
              <w:ind w:firstLine="0"/>
              <w:jc w:val="center"/>
              <w:rPr>
                <w:rFonts w:ascii="Times New Roman" w:hAnsi="Times New Roman"/>
                <w:sz w:val="24"/>
                <w:szCs w:val="24"/>
                <w:lang w:val="ro-RO"/>
              </w:rPr>
            </w:pPr>
            <w:r w:rsidRPr="00177035">
              <w:rPr>
                <w:rFonts w:ascii="Times New Roman" w:hAnsi="Times New Roman"/>
                <w:b/>
                <w:sz w:val="24"/>
                <w:szCs w:val="24"/>
                <w:lang w:val="ro-RO"/>
              </w:rPr>
              <w:t>Conținutul normei după modificare</w:t>
            </w:r>
          </w:p>
        </w:tc>
      </w:tr>
      <w:tr w:rsidR="0060760B" w:rsidRPr="00177035" w14:paraId="03DA0353" w14:textId="77777777" w:rsidTr="00877548">
        <w:tc>
          <w:tcPr>
            <w:tcW w:w="5529" w:type="dxa"/>
            <w:tcBorders>
              <w:top w:val="none" w:sz="4" w:space="0" w:color="000000"/>
              <w:left w:val="single" w:sz="8" w:space="0" w:color="000000"/>
              <w:bottom w:val="none" w:sz="4" w:space="0" w:color="000000"/>
              <w:right w:val="single" w:sz="8" w:space="0" w:color="000000"/>
            </w:tcBorders>
            <w:tcMar>
              <w:top w:w="0" w:type="dxa"/>
              <w:left w:w="108" w:type="dxa"/>
              <w:bottom w:w="0" w:type="dxa"/>
              <w:right w:w="108" w:type="dxa"/>
            </w:tcMar>
          </w:tcPr>
          <w:p w14:paraId="5A5EEBE5" w14:textId="068CA010" w:rsidR="005D649D" w:rsidRPr="00B5381E" w:rsidRDefault="0060760B" w:rsidP="003B797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MD"/>
              </w:rPr>
            </w:pPr>
            <w:r w:rsidRPr="00177035">
              <w:rPr>
                <w:rFonts w:ascii="Times New Roman" w:eastAsia="Times New Roman" w:hAnsi="Times New Roman"/>
                <w:sz w:val="24"/>
                <w:szCs w:val="24"/>
                <w:lang w:val="ro-RO"/>
              </w:rPr>
              <w:t xml:space="preserve"> </w:t>
            </w:r>
          </w:p>
          <w:tbl>
            <w:tblPr>
              <w:tblW w:w="5008" w:type="pct"/>
              <w:tblLayout w:type="fixed"/>
              <w:tblCellMar>
                <w:top w:w="15" w:type="dxa"/>
              </w:tblCellMar>
              <w:tblLook w:val="04A0" w:firstRow="1" w:lastRow="0" w:firstColumn="1" w:lastColumn="0" w:noHBand="0" w:noVBand="1"/>
            </w:tblPr>
            <w:tblGrid>
              <w:gridCol w:w="576"/>
              <w:gridCol w:w="1405"/>
              <w:gridCol w:w="1505"/>
              <w:gridCol w:w="1603"/>
              <w:gridCol w:w="222"/>
            </w:tblGrid>
            <w:tr w:rsidR="003B797C" w:rsidRPr="003B797C" w14:paraId="194AA2E2" w14:textId="77777777" w:rsidTr="000B0BE3">
              <w:trPr>
                <w:gridAfter w:val="1"/>
                <w:wAfter w:w="127" w:type="pct"/>
                <w:trHeight w:val="1785"/>
              </w:trPr>
              <w:tc>
                <w:tcPr>
                  <w:tcW w:w="376" w:type="pct"/>
                  <w:tcBorders>
                    <w:top w:val="single" w:sz="4" w:space="0" w:color="auto"/>
                    <w:left w:val="single" w:sz="4" w:space="0" w:color="auto"/>
                    <w:bottom w:val="single" w:sz="4" w:space="0" w:color="auto"/>
                    <w:right w:val="single" w:sz="4" w:space="0" w:color="auto"/>
                  </w:tcBorders>
                  <w:vAlign w:val="center"/>
                  <w:hideMark/>
                </w:tcPr>
                <w:p w14:paraId="472C505F" w14:textId="77777777" w:rsidR="003B797C" w:rsidRPr="003B797C" w:rsidRDefault="003B797C" w:rsidP="003B797C">
                  <w:pPr>
                    <w:ind w:firstLine="0"/>
                    <w:jc w:val="center"/>
                    <w:rPr>
                      <w:b/>
                      <w:bCs/>
                      <w:lang w:val="ro-RO" w:eastAsia="ro-RO"/>
                    </w:rPr>
                  </w:pPr>
                  <w:r w:rsidRPr="003B797C">
                    <w:rPr>
                      <w:b/>
                      <w:bCs/>
                      <w:lang w:val="ro-RO" w:eastAsia="ro-RO"/>
                    </w:rPr>
                    <w:t>Nr. crt.</w:t>
                  </w:r>
                </w:p>
              </w:tc>
              <w:tc>
                <w:tcPr>
                  <w:tcW w:w="1558" w:type="pct"/>
                  <w:tcBorders>
                    <w:top w:val="single" w:sz="4" w:space="0" w:color="auto"/>
                    <w:left w:val="nil"/>
                    <w:bottom w:val="single" w:sz="4" w:space="0" w:color="auto"/>
                    <w:right w:val="single" w:sz="4" w:space="0" w:color="auto"/>
                  </w:tcBorders>
                  <w:vAlign w:val="center"/>
                  <w:hideMark/>
                </w:tcPr>
                <w:p w14:paraId="0A142F0C" w14:textId="77777777" w:rsidR="003B797C" w:rsidRPr="003B797C" w:rsidRDefault="003B797C" w:rsidP="003B797C">
                  <w:pPr>
                    <w:ind w:firstLine="0"/>
                    <w:jc w:val="center"/>
                    <w:rPr>
                      <w:b/>
                      <w:bCs/>
                      <w:lang w:val="ro-RO" w:eastAsia="ro-RO"/>
                    </w:rPr>
                  </w:pPr>
                  <w:r w:rsidRPr="003B797C">
                    <w:rPr>
                      <w:b/>
                      <w:bCs/>
                      <w:lang w:val="ro-RO" w:eastAsia="ro-RO"/>
                    </w:rPr>
                    <w:t>Tehnologia de producere a energiei electrice</w:t>
                  </w:r>
                </w:p>
              </w:tc>
              <w:tc>
                <w:tcPr>
                  <w:tcW w:w="952" w:type="pct"/>
                  <w:tcBorders>
                    <w:top w:val="single" w:sz="4" w:space="0" w:color="auto"/>
                    <w:left w:val="nil"/>
                    <w:bottom w:val="single" w:sz="4" w:space="0" w:color="auto"/>
                    <w:right w:val="single" w:sz="4" w:space="0" w:color="auto"/>
                  </w:tcBorders>
                  <w:vAlign w:val="center"/>
                  <w:hideMark/>
                </w:tcPr>
                <w:p w14:paraId="435D8D5E" w14:textId="77777777" w:rsidR="003B797C" w:rsidRPr="003B797C" w:rsidRDefault="003B797C" w:rsidP="003B797C">
                  <w:pPr>
                    <w:ind w:firstLine="0"/>
                    <w:jc w:val="center"/>
                    <w:rPr>
                      <w:b/>
                      <w:bCs/>
                      <w:lang w:val="ro-RO" w:eastAsia="ro-RO"/>
                    </w:rPr>
                  </w:pPr>
                  <w:r w:rsidRPr="003B797C">
                    <w:rPr>
                      <w:b/>
                      <w:bCs/>
                      <w:lang w:val="ro-RO" w:eastAsia="ro-RO"/>
                    </w:rPr>
                    <w:t>Cota de capacitate pentru implementarea mecanismului de facturare netă, MW</w:t>
                  </w:r>
                </w:p>
              </w:tc>
              <w:tc>
                <w:tcPr>
                  <w:tcW w:w="1986" w:type="pct"/>
                  <w:tcBorders>
                    <w:top w:val="single" w:sz="4" w:space="0" w:color="auto"/>
                    <w:left w:val="nil"/>
                    <w:bottom w:val="single" w:sz="4" w:space="0" w:color="auto"/>
                    <w:right w:val="single" w:sz="4" w:space="0" w:color="auto"/>
                  </w:tcBorders>
                  <w:vAlign w:val="center"/>
                  <w:hideMark/>
                </w:tcPr>
                <w:p w14:paraId="770516DA" w14:textId="77777777" w:rsidR="003B797C" w:rsidRPr="003B797C" w:rsidRDefault="003B797C" w:rsidP="003B797C">
                  <w:pPr>
                    <w:ind w:firstLine="0"/>
                    <w:jc w:val="center"/>
                    <w:rPr>
                      <w:b/>
                      <w:bCs/>
                      <w:lang w:val="ro-RO" w:eastAsia="ro-RO"/>
                    </w:rPr>
                  </w:pPr>
                  <w:r w:rsidRPr="003B797C">
                    <w:rPr>
                      <w:b/>
                      <w:bCs/>
                      <w:lang w:val="ro-RO" w:eastAsia="ro-RO"/>
                    </w:rPr>
                    <w:t>Plafoanele de capacitate individuale</w:t>
                  </w:r>
                  <w:r w:rsidRPr="003B797C">
                    <w:rPr>
                      <w:lang w:val="ro-RO" w:eastAsia="ro-RO"/>
                    </w:rPr>
                    <w:t>,</w:t>
                  </w:r>
                  <w:r w:rsidRPr="003B797C">
                    <w:rPr>
                      <w:b/>
                      <w:bCs/>
                      <w:lang w:val="ro-RO" w:eastAsia="ro-RO"/>
                    </w:rPr>
                    <w:t xml:space="preserve"> kW</w:t>
                  </w:r>
                </w:p>
              </w:tc>
            </w:tr>
            <w:tr w:rsidR="003B797C" w:rsidRPr="003B797C" w14:paraId="0A74F394" w14:textId="77777777" w:rsidTr="000B0BE3">
              <w:trPr>
                <w:gridAfter w:val="1"/>
                <w:wAfter w:w="127" w:type="pct"/>
                <w:trHeight w:val="1260"/>
              </w:trPr>
              <w:tc>
                <w:tcPr>
                  <w:tcW w:w="376" w:type="pct"/>
                  <w:tcBorders>
                    <w:top w:val="nil"/>
                    <w:left w:val="single" w:sz="4" w:space="0" w:color="auto"/>
                    <w:bottom w:val="single" w:sz="4" w:space="0" w:color="auto"/>
                    <w:right w:val="single" w:sz="4" w:space="0" w:color="auto"/>
                  </w:tcBorders>
                  <w:vAlign w:val="center"/>
                  <w:hideMark/>
                </w:tcPr>
                <w:p w14:paraId="5F576AFA" w14:textId="77777777" w:rsidR="003B797C" w:rsidRPr="003B797C" w:rsidRDefault="003B797C" w:rsidP="003B797C">
                  <w:pPr>
                    <w:ind w:firstLine="0"/>
                    <w:rPr>
                      <w:lang w:val="ro-RO" w:eastAsia="ro-RO"/>
                    </w:rPr>
                  </w:pPr>
                  <w:r w:rsidRPr="003B797C">
                    <w:rPr>
                      <w:lang w:val="ro-RO" w:eastAsia="ro-RO"/>
                    </w:rPr>
                    <w:t>1.</w:t>
                  </w:r>
                </w:p>
              </w:tc>
              <w:tc>
                <w:tcPr>
                  <w:tcW w:w="1558" w:type="pct"/>
                  <w:tcBorders>
                    <w:top w:val="nil"/>
                    <w:left w:val="nil"/>
                    <w:bottom w:val="single" w:sz="4" w:space="0" w:color="auto"/>
                    <w:right w:val="single" w:sz="4" w:space="0" w:color="auto"/>
                  </w:tcBorders>
                  <w:vAlign w:val="center"/>
                  <w:hideMark/>
                </w:tcPr>
                <w:p w14:paraId="37AFDF79" w14:textId="77777777" w:rsidR="003B797C" w:rsidRPr="003B797C" w:rsidRDefault="003B797C" w:rsidP="003B797C">
                  <w:pPr>
                    <w:ind w:firstLine="0"/>
                    <w:rPr>
                      <w:lang w:val="ro-RO" w:eastAsia="ro-RO"/>
                    </w:rPr>
                  </w:pPr>
                  <w:r w:rsidRPr="003B797C">
                    <w:rPr>
                      <w:lang w:val="ro-RO" w:eastAsia="ro-RO"/>
                    </w:rPr>
                    <w:t>Instalații PV (fotovoltaice) ce urmează a fi oferite pentru implementarea mecanismului de facturare netă, din care:</w:t>
                  </w:r>
                </w:p>
              </w:tc>
              <w:tc>
                <w:tcPr>
                  <w:tcW w:w="952" w:type="pct"/>
                  <w:tcBorders>
                    <w:top w:val="nil"/>
                    <w:left w:val="nil"/>
                    <w:bottom w:val="single" w:sz="4" w:space="0" w:color="auto"/>
                    <w:right w:val="single" w:sz="4" w:space="0" w:color="auto"/>
                  </w:tcBorders>
                  <w:vAlign w:val="center"/>
                  <w:hideMark/>
                </w:tcPr>
                <w:p w14:paraId="711CF8F3" w14:textId="77777777" w:rsidR="003B797C" w:rsidRPr="003B797C" w:rsidRDefault="003B797C" w:rsidP="003B797C">
                  <w:pPr>
                    <w:ind w:firstLine="0"/>
                    <w:jc w:val="center"/>
                    <w:rPr>
                      <w:lang w:val="ro-RO" w:eastAsia="ro-RO"/>
                    </w:rPr>
                  </w:pPr>
                  <w:r w:rsidRPr="003B797C">
                    <w:rPr>
                      <w:lang w:val="ro-RO" w:eastAsia="ro-RO"/>
                    </w:rPr>
                    <w:t>100</w:t>
                  </w:r>
                </w:p>
              </w:tc>
              <w:tc>
                <w:tcPr>
                  <w:tcW w:w="1986" w:type="pct"/>
                  <w:tcBorders>
                    <w:top w:val="nil"/>
                    <w:left w:val="nil"/>
                    <w:bottom w:val="single" w:sz="4" w:space="0" w:color="auto"/>
                    <w:right w:val="single" w:sz="4" w:space="0" w:color="auto"/>
                  </w:tcBorders>
                  <w:vAlign w:val="center"/>
                  <w:hideMark/>
                </w:tcPr>
                <w:p w14:paraId="7F8773DD" w14:textId="77777777" w:rsidR="003B797C" w:rsidRPr="003B797C" w:rsidRDefault="003B797C" w:rsidP="003B797C">
                  <w:pPr>
                    <w:ind w:firstLine="0"/>
                    <w:jc w:val="center"/>
                    <w:rPr>
                      <w:lang w:val="ro-RO" w:eastAsia="ro-RO"/>
                    </w:rPr>
                  </w:pPr>
                  <w:r w:rsidRPr="003B797C">
                    <w:rPr>
                      <w:lang w:val="ro-RO" w:eastAsia="ro-RO"/>
                    </w:rPr>
                    <w:t>-</w:t>
                  </w:r>
                </w:p>
              </w:tc>
            </w:tr>
            <w:tr w:rsidR="003B797C" w:rsidRPr="003B797C" w14:paraId="075519F6" w14:textId="77777777" w:rsidTr="000B0BE3">
              <w:trPr>
                <w:gridAfter w:val="1"/>
                <w:wAfter w:w="127" w:type="pct"/>
                <w:trHeight w:val="464"/>
              </w:trPr>
              <w:tc>
                <w:tcPr>
                  <w:tcW w:w="376" w:type="pct"/>
                  <w:vMerge w:val="restart"/>
                  <w:tcBorders>
                    <w:top w:val="nil"/>
                    <w:left w:val="single" w:sz="4" w:space="0" w:color="auto"/>
                    <w:bottom w:val="single" w:sz="4" w:space="0" w:color="auto"/>
                    <w:right w:val="single" w:sz="4" w:space="0" w:color="auto"/>
                  </w:tcBorders>
                  <w:vAlign w:val="center"/>
                  <w:hideMark/>
                </w:tcPr>
                <w:p w14:paraId="43B125D8" w14:textId="77777777" w:rsidR="003B797C" w:rsidRPr="003B797C" w:rsidRDefault="003B797C" w:rsidP="003B797C">
                  <w:pPr>
                    <w:ind w:firstLine="0"/>
                    <w:rPr>
                      <w:lang w:val="ro-RO" w:eastAsia="ro-RO"/>
                    </w:rPr>
                  </w:pPr>
                  <w:r w:rsidRPr="003B797C">
                    <w:rPr>
                      <w:lang w:val="ro-RO" w:eastAsia="ro-RO"/>
                    </w:rPr>
                    <w:t>1.1.</w:t>
                  </w:r>
                </w:p>
              </w:tc>
              <w:tc>
                <w:tcPr>
                  <w:tcW w:w="1558" w:type="pct"/>
                  <w:vMerge w:val="restart"/>
                  <w:tcBorders>
                    <w:top w:val="nil"/>
                    <w:left w:val="single" w:sz="4" w:space="0" w:color="auto"/>
                    <w:bottom w:val="single" w:sz="4" w:space="0" w:color="auto"/>
                    <w:right w:val="single" w:sz="4" w:space="0" w:color="auto"/>
                  </w:tcBorders>
                  <w:vAlign w:val="center"/>
                  <w:hideMark/>
                </w:tcPr>
                <w:p w14:paraId="7E05A855" w14:textId="6F031AF0" w:rsidR="003B797C" w:rsidRPr="003B797C" w:rsidRDefault="003B797C" w:rsidP="003B797C">
                  <w:pPr>
                    <w:ind w:firstLine="0"/>
                    <w:rPr>
                      <w:lang w:val="ro-RO" w:eastAsia="ro-RO"/>
                    </w:rPr>
                  </w:pPr>
                  <w:r w:rsidRPr="003B797C">
                    <w:rPr>
                      <w:lang w:val="ro-RO" w:eastAsia="ro-RO"/>
                    </w:rPr>
                    <w:t>pentru instalațiile PV</w:t>
                  </w:r>
                  <w:r w:rsidR="00DA3989">
                    <w:rPr>
                      <w:lang w:val="ro-RO" w:eastAsia="ro-RO"/>
                    </w:rPr>
                    <w:t xml:space="preserve"> </w:t>
                  </w:r>
                  <w:r w:rsidRPr="003B797C">
                    <w:rPr>
                      <w:lang w:val="ro-RO" w:eastAsia="ro-RO"/>
                    </w:rPr>
                    <w:t>montate de către consumatorii casnici</w:t>
                  </w:r>
                </w:p>
              </w:tc>
              <w:tc>
                <w:tcPr>
                  <w:tcW w:w="952" w:type="pct"/>
                  <w:vMerge w:val="restart"/>
                  <w:tcBorders>
                    <w:top w:val="nil"/>
                    <w:left w:val="single" w:sz="4" w:space="0" w:color="auto"/>
                    <w:bottom w:val="single" w:sz="4" w:space="0" w:color="auto"/>
                    <w:right w:val="single" w:sz="4" w:space="0" w:color="auto"/>
                  </w:tcBorders>
                  <w:vAlign w:val="center"/>
                  <w:hideMark/>
                </w:tcPr>
                <w:p w14:paraId="3A17AF0E" w14:textId="77777777" w:rsidR="003B797C" w:rsidRPr="003B797C" w:rsidRDefault="003B797C" w:rsidP="003B797C">
                  <w:pPr>
                    <w:ind w:firstLine="0"/>
                    <w:jc w:val="center"/>
                    <w:rPr>
                      <w:lang w:val="ro-RO" w:eastAsia="ro-RO"/>
                    </w:rPr>
                  </w:pPr>
                  <w:r w:rsidRPr="003B797C">
                    <w:rPr>
                      <w:lang w:val="ro-RO" w:eastAsia="ro-RO"/>
                    </w:rPr>
                    <w:t>43</w:t>
                  </w:r>
                </w:p>
              </w:tc>
              <w:tc>
                <w:tcPr>
                  <w:tcW w:w="1986" w:type="pct"/>
                  <w:vMerge w:val="restart"/>
                  <w:tcBorders>
                    <w:top w:val="nil"/>
                    <w:left w:val="single" w:sz="4" w:space="0" w:color="auto"/>
                    <w:right w:val="single" w:sz="4" w:space="0" w:color="auto"/>
                  </w:tcBorders>
                  <w:vAlign w:val="center"/>
                  <w:hideMark/>
                </w:tcPr>
                <w:p w14:paraId="39A36E66" w14:textId="77777777" w:rsidR="003B797C" w:rsidRPr="003B797C" w:rsidRDefault="003B797C" w:rsidP="003B797C">
                  <w:pPr>
                    <w:ind w:firstLine="0"/>
                    <w:rPr>
                      <w:lang w:val="ro-RO" w:eastAsia="ro-RO"/>
                    </w:rPr>
                  </w:pPr>
                  <w:r w:rsidRPr="003B797C">
                    <w:rPr>
                      <w:lang w:val="ro-RO" w:eastAsia="ro-RO"/>
                    </w:rPr>
                    <w:t>Se determină individual pentru fiecare consumator final de energie electrică conform formulei:</w:t>
                  </w:r>
                </w:p>
                <w:p w14:paraId="4DCF0F61" w14:textId="77777777" w:rsidR="003B797C" w:rsidRPr="003B797C" w:rsidRDefault="003B797C" w:rsidP="003B797C">
                  <w:pPr>
                    <w:ind w:firstLine="0"/>
                    <w:jc w:val="center"/>
                    <w:rPr>
                      <w:lang w:val="ro-RO" w:eastAsia="ro-RO"/>
                    </w:rPr>
                  </w:pPr>
                  <m:oMath>
                    <m:r>
                      <w:rPr>
                        <w:rFonts w:ascii="Cambria Math" w:hAnsi="Cambria Math"/>
                        <w:lang w:val="ro-RO" w:eastAsia="ro-RO"/>
                      </w:rPr>
                      <m:t>PC=</m:t>
                    </m:r>
                    <m:f>
                      <m:fPr>
                        <m:ctrlPr>
                          <w:rPr>
                            <w:rFonts w:ascii="Cambria Math" w:hAnsi="Cambria Math"/>
                            <w:i/>
                            <w:lang w:val="ro-RO" w:eastAsia="ro-RO"/>
                          </w:rPr>
                        </m:ctrlPr>
                      </m:fPr>
                      <m:num>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num>
                      <m:den>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den>
                    </m:f>
                  </m:oMath>
                  <w:r w:rsidRPr="003B797C">
                    <w:rPr>
                      <w:lang w:val="ro-RO" w:eastAsia="ro-RO"/>
                    </w:rPr>
                    <w:t xml:space="preserve"> ,</w:t>
                  </w:r>
                </w:p>
                <w:p w14:paraId="1B8DCB4A" w14:textId="77777777" w:rsidR="003B797C" w:rsidRPr="003B797C" w:rsidRDefault="003B797C" w:rsidP="003B797C">
                  <w:pPr>
                    <w:ind w:firstLine="0"/>
                    <w:rPr>
                      <w:lang w:val="ro-RO" w:eastAsia="ro-RO"/>
                    </w:rPr>
                  </w:pPr>
                  <w:r w:rsidRPr="003B797C">
                    <w:rPr>
                      <w:lang w:val="ro-RO" w:eastAsia="ro-RO"/>
                    </w:rPr>
                    <w:t>unde:</w:t>
                  </w:r>
                </w:p>
                <w:p w14:paraId="29BCA190" w14:textId="77777777" w:rsidR="003B797C" w:rsidRPr="003B797C" w:rsidRDefault="003B797C" w:rsidP="003B797C">
                  <w:pPr>
                    <w:ind w:firstLine="0"/>
                    <w:rPr>
                      <w:lang w:val="ro-RO" w:eastAsia="ro-RO"/>
                    </w:rPr>
                  </w:pPr>
                  <m:oMath>
                    <m:r>
                      <w:rPr>
                        <w:rFonts w:ascii="Cambria Math" w:hAnsi="Cambria Math"/>
                        <w:lang w:val="ro-RO" w:eastAsia="ro-RO"/>
                      </w:rPr>
                      <m:t>PC</m:t>
                    </m:r>
                  </m:oMath>
                  <w:r w:rsidRPr="003B797C">
                    <w:rPr>
                      <w:lang w:val="ro-RO" w:eastAsia="ro-RO"/>
                    </w:rPr>
                    <w:t xml:space="preserve"> este plafonul de capacitate individual calculat pentru consumatorul respectiv;</w:t>
                  </w:r>
                </w:p>
                <w:p w14:paraId="448ED652" w14:textId="77777777" w:rsidR="003B797C" w:rsidRPr="003B797C" w:rsidRDefault="00000000" w:rsidP="003B797C">
                  <w:pPr>
                    <w:ind w:firstLine="0"/>
                    <w:rPr>
                      <w:lang w:val="ro-RO" w:eastAsia="ro-RO"/>
                    </w:rPr>
                  </w:pPr>
                  <m:oMath>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oMath>
                  <w:r w:rsidR="003B797C" w:rsidRPr="003B797C">
                    <w:rPr>
                      <w:lang w:val="ro-RO" w:eastAsia="ro-RO"/>
                    </w:rPr>
                    <w:t xml:space="preserve"> – cea mai mare valoare dintre:</w:t>
                  </w:r>
                </w:p>
                <w:p w14:paraId="36C0ECCB" w14:textId="77777777" w:rsidR="003B797C" w:rsidRPr="003B797C" w:rsidRDefault="003B797C" w:rsidP="003B797C">
                  <w:pPr>
                    <w:ind w:firstLine="0"/>
                    <w:rPr>
                      <w:lang w:val="ro-RO" w:eastAsia="ro-RO"/>
                    </w:rPr>
                  </w:pPr>
                  <w:r w:rsidRPr="003B797C">
                    <w:rPr>
                      <w:lang w:val="ro-RO" w:eastAsia="ro-RO"/>
                    </w:rPr>
                    <w:t xml:space="preserve">- valoarea maximă a consumului anual din ultimii 3 ani calendaristici a consumatorului final de energie electrică, și </w:t>
                  </w:r>
                </w:p>
                <w:p w14:paraId="2248FBE5" w14:textId="77777777" w:rsidR="003B797C" w:rsidRPr="003B797C" w:rsidRDefault="003B797C" w:rsidP="003B797C">
                  <w:pPr>
                    <w:ind w:firstLine="0"/>
                    <w:rPr>
                      <w:lang w:val="ro-RO" w:eastAsia="ro-RO"/>
                    </w:rPr>
                  </w:pPr>
                  <w:r w:rsidRPr="003B797C">
                    <w:rPr>
                      <w:lang w:val="ro-RO" w:eastAsia="ro-RO"/>
                    </w:rPr>
                    <w:t xml:space="preserve">- produsul dintre puterea contractată a locului de </w:t>
                  </w:r>
                  <w:r w:rsidRPr="003B797C">
                    <w:rPr>
                      <w:lang w:val="ro-RO" w:eastAsia="ro-RO"/>
                    </w:rPr>
                    <w:lastRenderedPageBreak/>
                    <w:t xml:space="preserve">consum și consumul mediu anual pentru </w:t>
                  </w:r>
                  <w:r w:rsidRPr="003B797C">
                    <w:rPr>
                      <w:lang w:val="ro-RO"/>
                    </w:rPr>
                    <w:t>1  kW</w:t>
                  </w:r>
                  <w:r w:rsidRPr="003B797C">
                    <w:rPr>
                      <w:lang w:val="ro-RO" w:eastAsia="ro-RO"/>
                    </w:rPr>
                    <w:t xml:space="preserve"> al consumatorilor din categoria din care face parte consumatorul final de energie electrică pentru care se calculează plafonul de capacitate individuală, determinat pentru zona de activitate a operatorului sistemului de distribuție la care este/urmează a fi conectat consumatorul final de energie electrică respectiv;</w:t>
                  </w:r>
                </w:p>
                <w:p w14:paraId="64F432FE" w14:textId="77777777" w:rsidR="003B797C" w:rsidRPr="003B797C" w:rsidRDefault="00000000" w:rsidP="003B797C">
                  <w:pPr>
                    <w:ind w:firstLine="0"/>
                    <w:rPr>
                      <w:lang w:val="ro-RO" w:eastAsia="ro-RO"/>
                    </w:rPr>
                  </w:pPr>
                  <m:oMath>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oMath>
                  <w:r w:rsidR="003B797C" w:rsidRPr="003B797C">
                    <w:rPr>
                      <w:lang w:val="ro-RO" w:eastAsia="ro-RO"/>
                    </w:rPr>
                    <w:t xml:space="preserve"> – coeficient ce exprimă energia electrică generată pe parcursul unui an calendaristic de o instalație PV cu puterea instalată de 1 kW, care este egală cu </w:t>
                  </w:r>
                  <w:r w:rsidR="003B797C" w:rsidRPr="003B797C">
                    <w:rPr>
                      <w:lang w:val="ro-RO" w:eastAsia="ro-RO"/>
                    </w:rPr>
                    <w:br/>
                  </w:r>
                  <w:r w:rsidR="003B797C" w:rsidRPr="003B797C">
                    <w:rPr>
                      <w:lang w:val="ro-RO"/>
                    </w:rPr>
                    <w:t>1200 kWh/kW</w:t>
                  </w:r>
                  <w:r w:rsidR="003B797C" w:rsidRPr="003B797C">
                    <w:rPr>
                      <w:lang w:val="ro-RO" w:eastAsia="ro-RO"/>
                    </w:rPr>
                    <w:t xml:space="preserve">. </w:t>
                  </w:r>
                </w:p>
              </w:tc>
            </w:tr>
            <w:tr w:rsidR="003B797C" w:rsidRPr="003B797C" w14:paraId="12DD1B21" w14:textId="77777777" w:rsidTr="000B0BE3">
              <w:trPr>
                <w:trHeight w:val="300"/>
              </w:trPr>
              <w:tc>
                <w:tcPr>
                  <w:tcW w:w="376" w:type="pct"/>
                  <w:vMerge/>
                  <w:tcBorders>
                    <w:top w:val="nil"/>
                    <w:left w:val="single" w:sz="4" w:space="0" w:color="auto"/>
                    <w:bottom w:val="single" w:sz="4" w:space="0" w:color="auto"/>
                    <w:right w:val="single" w:sz="4" w:space="0" w:color="auto"/>
                  </w:tcBorders>
                  <w:vAlign w:val="center"/>
                  <w:hideMark/>
                </w:tcPr>
                <w:p w14:paraId="66D1A41E"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1392041E"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63B4B7FB" w14:textId="77777777" w:rsidR="003B797C" w:rsidRPr="003B797C" w:rsidRDefault="003B797C" w:rsidP="003B797C">
                  <w:pPr>
                    <w:ind w:firstLine="0"/>
                    <w:jc w:val="center"/>
                    <w:rPr>
                      <w:sz w:val="24"/>
                      <w:szCs w:val="24"/>
                      <w:lang w:val="ro-RO" w:eastAsia="ro-RO"/>
                    </w:rPr>
                  </w:pPr>
                </w:p>
              </w:tc>
              <w:tc>
                <w:tcPr>
                  <w:tcW w:w="1986" w:type="pct"/>
                  <w:vMerge/>
                  <w:tcBorders>
                    <w:left w:val="single" w:sz="4" w:space="0" w:color="auto"/>
                    <w:right w:val="single" w:sz="4" w:space="0" w:color="auto"/>
                  </w:tcBorders>
                  <w:vAlign w:val="center"/>
                  <w:hideMark/>
                </w:tcPr>
                <w:p w14:paraId="27030428"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39C3428E" w14:textId="77777777" w:rsidR="003B797C" w:rsidRPr="003B797C" w:rsidRDefault="003B797C" w:rsidP="003B797C">
                  <w:pPr>
                    <w:ind w:firstLine="0"/>
                    <w:rPr>
                      <w:sz w:val="24"/>
                      <w:szCs w:val="24"/>
                      <w:lang w:val="ro-RO" w:eastAsia="ro-RO"/>
                    </w:rPr>
                  </w:pPr>
                </w:p>
              </w:tc>
            </w:tr>
            <w:tr w:rsidR="003B797C" w:rsidRPr="003B797C" w14:paraId="59014545"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476676C9"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40E7E6E5"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1B91ABEC" w14:textId="77777777" w:rsidR="003B797C" w:rsidRPr="003B797C" w:rsidRDefault="003B797C" w:rsidP="003B797C">
                  <w:pPr>
                    <w:ind w:firstLine="0"/>
                    <w:jc w:val="center"/>
                    <w:rPr>
                      <w:sz w:val="24"/>
                      <w:szCs w:val="24"/>
                      <w:lang w:val="ro-RO" w:eastAsia="ro-RO"/>
                    </w:rPr>
                  </w:pPr>
                </w:p>
              </w:tc>
              <w:tc>
                <w:tcPr>
                  <w:tcW w:w="1986" w:type="pct"/>
                  <w:vMerge/>
                  <w:tcBorders>
                    <w:left w:val="single" w:sz="4" w:space="0" w:color="auto"/>
                    <w:right w:val="single" w:sz="4" w:space="0" w:color="auto"/>
                  </w:tcBorders>
                  <w:vAlign w:val="center"/>
                  <w:hideMark/>
                </w:tcPr>
                <w:p w14:paraId="3E7D3036"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63AF594A" w14:textId="77777777" w:rsidR="003B797C" w:rsidRPr="003B797C" w:rsidRDefault="003B797C" w:rsidP="003B797C">
                  <w:pPr>
                    <w:ind w:firstLine="0"/>
                    <w:rPr>
                      <w:sz w:val="24"/>
                      <w:szCs w:val="24"/>
                      <w:lang w:val="ro-RO" w:eastAsia="ro-RO"/>
                    </w:rPr>
                  </w:pPr>
                </w:p>
              </w:tc>
            </w:tr>
            <w:tr w:rsidR="003B797C" w:rsidRPr="003B797C" w14:paraId="2839A663"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20CB5CA8"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34AE64C9"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215D3F00" w14:textId="77777777" w:rsidR="003B797C" w:rsidRPr="003B797C" w:rsidRDefault="003B797C" w:rsidP="003B797C">
                  <w:pPr>
                    <w:ind w:firstLine="0"/>
                    <w:jc w:val="center"/>
                    <w:rPr>
                      <w:sz w:val="24"/>
                      <w:szCs w:val="24"/>
                      <w:lang w:val="ro-RO" w:eastAsia="ro-RO"/>
                    </w:rPr>
                  </w:pPr>
                </w:p>
              </w:tc>
              <w:tc>
                <w:tcPr>
                  <w:tcW w:w="1986" w:type="pct"/>
                  <w:vMerge/>
                  <w:tcBorders>
                    <w:left w:val="single" w:sz="4" w:space="0" w:color="auto"/>
                    <w:right w:val="single" w:sz="4" w:space="0" w:color="auto"/>
                  </w:tcBorders>
                  <w:vAlign w:val="center"/>
                  <w:hideMark/>
                </w:tcPr>
                <w:p w14:paraId="11469D86"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5D15CBD6" w14:textId="77777777" w:rsidR="003B797C" w:rsidRPr="003B797C" w:rsidRDefault="003B797C" w:rsidP="003B797C">
                  <w:pPr>
                    <w:ind w:firstLine="0"/>
                    <w:rPr>
                      <w:sz w:val="24"/>
                      <w:szCs w:val="24"/>
                      <w:lang w:val="ro-RO" w:eastAsia="ro-RO"/>
                    </w:rPr>
                  </w:pPr>
                </w:p>
              </w:tc>
            </w:tr>
            <w:tr w:rsidR="003B797C" w:rsidRPr="003B797C" w14:paraId="62ECB825"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46B0EF0B"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0CCF52FD"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08AF6D29" w14:textId="77777777" w:rsidR="003B797C" w:rsidRPr="003B797C" w:rsidRDefault="003B797C" w:rsidP="003B797C">
                  <w:pPr>
                    <w:ind w:firstLine="0"/>
                    <w:jc w:val="center"/>
                    <w:rPr>
                      <w:sz w:val="24"/>
                      <w:szCs w:val="24"/>
                      <w:lang w:val="ro-RO" w:eastAsia="ro-RO"/>
                    </w:rPr>
                  </w:pPr>
                </w:p>
              </w:tc>
              <w:tc>
                <w:tcPr>
                  <w:tcW w:w="1986" w:type="pct"/>
                  <w:vMerge/>
                  <w:tcBorders>
                    <w:left w:val="single" w:sz="4" w:space="0" w:color="auto"/>
                    <w:right w:val="single" w:sz="4" w:space="0" w:color="auto"/>
                  </w:tcBorders>
                  <w:vAlign w:val="center"/>
                  <w:hideMark/>
                </w:tcPr>
                <w:p w14:paraId="4CFB68AE"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63EBAA2F" w14:textId="77777777" w:rsidR="003B797C" w:rsidRPr="003B797C" w:rsidRDefault="003B797C" w:rsidP="003B797C">
                  <w:pPr>
                    <w:ind w:firstLine="0"/>
                    <w:rPr>
                      <w:sz w:val="24"/>
                      <w:szCs w:val="24"/>
                      <w:lang w:val="ro-RO" w:eastAsia="ro-RO"/>
                    </w:rPr>
                  </w:pPr>
                </w:p>
              </w:tc>
            </w:tr>
            <w:tr w:rsidR="003B797C" w:rsidRPr="003B797C" w14:paraId="60C4189F"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2E6152F0"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66B77F73"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28A15CCF" w14:textId="77777777" w:rsidR="003B797C" w:rsidRPr="003B797C" w:rsidRDefault="003B797C" w:rsidP="003B797C">
                  <w:pPr>
                    <w:ind w:firstLine="0"/>
                    <w:jc w:val="center"/>
                    <w:rPr>
                      <w:sz w:val="24"/>
                      <w:szCs w:val="24"/>
                      <w:lang w:val="ro-RO" w:eastAsia="ro-RO"/>
                    </w:rPr>
                  </w:pPr>
                </w:p>
              </w:tc>
              <w:tc>
                <w:tcPr>
                  <w:tcW w:w="1986" w:type="pct"/>
                  <w:vMerge/>
                  <w:tcBorders>
                    <w:left w:val="single" w:sz="4" w:space="0" w:color="auto"/>
                    <w:right w:val="single" w:sz="4" w:space="0" w:color="auto"/>
                  </w:tcBorders>
                  <w:vAlign w:val="center"/>
                  <w:hideMark/>
                </w:tcPr>
                <w:p w14:paraId="5172389B"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25F2701F" w14:textId="77777777" w:rsidR="003B797C" w:rsidRPr="003B797C" w:rsidRDefault="003B797C" w:rsidP="003B797C">
                  <w:pPr>
                    <w:ind w:firstLine="0"/>
                    <w:rPr>
                      <w:sz w:val="24"/>
                      <w:szCs w:val="24"/>
                      <w:lang w:val="ro-RO" w:eastAsia="ro-RO"/>
                    </w:rPr>
                  </w:pPr>
                </w:p>
              </w:tc>
            </w:tr>
            <w:tr w:rsidR="003B797C" w:rsidRPr="003B797C" w14:paraId="79719372" w14:textId="77777777" w:rsidTr="000B0BE3">
              <w:trPr>
                <w:trHeight w:val="945"/>
              </w:trPr>
              <w:tc>
                <w:tcPr>
                  <w:tcW w:w="376" w:type="pct"/>
                  <w:vMerge/>
                  <w:tcBorders>
                    <w:top w:val="nil"/>
                    <w:left w:val="single" w:sz="4" w:space="0" w:color="auto"/>
                    <w:bottom w:val="single" w:sz="4" w:space="0" w:color="auto"/>
                    <w:right w:val="single" w:sz="4" w:space="0" w:color="auto"/>
                  </w:tcBorders>
                  <w:vAlign w:val="center"/>
                  <w:hideMark/>
                </w:tcPr>
                <w:p w14:paraId="5DF170EA"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1285A318"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2BCE7A48" w14:textId="77777777" w:rsidR="003B797C" w:rsidRPr="003B797C" w:rsidRDefault="003B797C" w:rsidP="003B797C">
                  <w:pPr>
                    <w:ind w:firstLine="0"/>
                    <w:jc w:val="center"/>
                    <w:rPr>
                      <w:sz w:val="24"/>
                      <w:szCs w:val="24"/>
                      <w:lang w:val="ro-RO" w:eastAsia="ro-RO"/>
                    </w:rPr>
                  </w:pPr>
                </w:p>
              </w:tc>
              <w:tc>
                <w:tcPr>
                  <w:tcW w:w="1986" w:type="pct"/>
                  <w:vMerge/>
                  <w:tcBorders>
                    <w:left w:val="single" w:sz="4" w:space="0" w:color="auto"/>
                    <w:right w:val="single" w:sz="4" w:space="0" w:color="auto"/>
                  </w:tcBorders>
                  <w:vAlign w:val="center"/>
                  <w:hideMark/>
                </w:tcPr>
                <w:p w14:paraId="2B35D63A"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4B684024" w14:textId="77777777" w:rsidR="003B797C" w:rsidRPr="003B797C" w:rsidRDefault="003B797C" w:rsidP="003B797C">
                  <w:pPr>
                    <w:ind w:firstLine="0"/>
                    <w:rPr>
                      <w:sz w:val="24"/>
                      <w:szCs w:val="24"/>
                      <w:lang w:val="ro-RO" w:eastAsia="ro-RO"/>
                    </w:rPr>
                  </w:pPr>
                </w:p>
              </w:tc>
            </w:tr>
            <w:tr w:rsidR="003B797C" w:rsidRPr="003B797C" w14:paraId="2F540784"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15326B9C"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4A57086D"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07EB25C0" w14:textId="77777777" w:rsidR="003B797C" w:rsidRPr="003B797C" w:rsidRDefault="003B797C" w:rsidP="003B797C">
                  <w:pPr>
                    <w:ind w:firstLine="0"/>
                    <w:jc w:val="center"/>
                    <w:rPr>
                      <w:sz w:val="24"/>
                      <w:szCs w:val="24"/>
                      <w:lang w:val="ro-RO" w:eastAsia="ro-RO"/>
                    </w:rPr>
                  </w:pPr>
                </w:p>
              </w:tc>
              <w:tc>
                <w:tcPr>
                  <w:tcW w:w="1986" w:type="pct"/>
                  <w:vMerge/>
                  <w:tcBorders>
                    <w:left w:val="single" w:sz="4" w:space="0" w:color="auto"/>
                    <w:right w:val="single" w:sz="4" w:space="0" w:color="auto"/>
                  </w:tcBorders>
                  <w:vAlign w:val="center"/>
                  <w:hideMark/>
                </w:tcPr>
                <w:p w14:paraId="6313FCA8"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10D0A4EE" w14:textId="77777777" w:rsidR="003B797C" w:rsidRPr="003B797C" w:rsidRDefault="003B797C" w:rsidP="003B797C">
                  <w:pPr>
                    <w:ind w:firstLine="0"/>
                    <w:rPr>
                      <w:sz w:val="24"/>
                      <w:szCs w:val="24"/>
                      <w:lang w:val="ro-RO" w:eastAsia="ro-RO"/>
                    </w:rPr>
                  </w:pPr>
                </w:p>
              </w:tc>
            </w:tr>
            <w:tr w:rsidR="003B797C" w:rsidRPr="003B797C" w14:paraId="68A0D52A" w14:textId="77777777" w:rsidTr="000B0BE3">
              <w:trPr>
                <w:trHeight w:val="315"/>
              </w:trPr>
              <w:tc>
                <w:tcPr>
                  <w:tcW w:w="376" w:type="pct"/>
                  <w:vMerge w:val="restart"/>
                  <w:tcBorders>
                    <w:top w:val="nil"/>
                    <w:left w:val="single" w:sz="4" w:space="0" w:color="auto"/>
                    <w:bottom w:val="single" w:sz="4" w:space="0" w:color="auto"/>
                    <w:right w:val="single" w:sz="4" w:space="0" w:color="auto"/>
                  </w:tcBorders>
                  <w:vAlign w:val="center"/>
                  <w:hideMark/>
                </w:tcPr>
                <w:p w14:paraId="45B1309D" w14:textId="77777777" w:rsidR="003B797C" w:rsidRPr="003B797C" w:rsidRDefault="003B797C" w:rsidP="003B797C">
                  <w:pPr>
                    <w:ind w:firstLine="0"/>
                    <w:rPr>
                      <w:sz w:val="24"/>
                      <w:szCs w:val="24"/>
                      <w:lang w:val="ro-RO" w:eastAsia="ro-RO"/>
                    </w:rPr>
                  </w:pPr>
                  <w:r w:rsidRPr="003B797C">
                    <w:rPr>
                      <w:sz w:val="24"/>
                      <w:szCs w:val="24"/>
                      <w:lang w:val="ro-RO" w:eastAsia="ro-RO"/>
                    </w:rPr>
                    <w:t>1.2.</w:t>
                  </w:r>
                </w:p>
              </w:tc>
              <w:tc>
                <w:tcPr>
                  <w:tcW w:w="1558" w:type="pct"/>
                  <w:vMerge w:val="restart"/>
                  <w:tcBorders>
                    <w:top w:val="nil"/>
                    <w:left w:val="single" w:sz="4" w:space="0" w:color="auto"/>
                    <w:bottom w:val="single" w:sz="4" w:space="0" w:color="auto"/>
                    <w:right w:val="single" w:sz="4" w:space="0" w:color="auto"/>
                  </w:tcBorders>
                  <w:vAlign w:val="center"/>
                  <w:hideMark/>
                </w:tcPr>
                <w:p w14:paraId="39A2D2D3" w14:textId="652D6737" w:rsidR="003B797C" w:rsidRPr="003B797C" w:rsidRDefault="003B797C" w:rsidP="003B797C">
                  <w:pPr>
                    <w:ind w:firstLine="0"/>
                    <w:rPr>
                      <w:lang w:val="ro-RO" w:eastAsia="ro-RO"/>
                    </w:rPr>
                  </w:pPr>
                  <w:r w:rsidRPr="003B797C">
                    <w:rPr>
                      <w:lang w:val="ro-RO" w:eastAsia="ro-RO"/>
                    </w:rPr>
                    <w:t>pentru instalațiile PV</w:t>
                  </w:r>
                  <w:r w:rsidR="00DA3989">
                    <w:rPr>
                      <w:lang w:val="ro-RO" w:eastAsia="ro-RO"/>
                    </w:rPr>
                    <w:t xml:space="preserve"> </w:t>
                  </w:r>
                  <w:r w:rsidRPr="003B797C">
                    <w:rPr>
                      <w:lang w:val="ro-RO" w:eastAsia="ro-RO"/>
                    </w:rPr>
                    <w:t>montate de către instituțiile bugetare finanțate din bugetul de stat sau din bugetele locale</w:t>
                  </w:r>
                </w:p>
              </w:tc>
              <w:tc>
                <w:tcPr>
                  <w:tcW w:w="952" w:type="pct"/>
                  <w:vMerge w:val="restart"/>
                  <w:tcBorders>
                    <w:top w:val="nil"/>
                    <w:left w:val="single" w:sz="4" w:space="0" w:color="auto"/>
                    <w:bottom w:val="single" w:sz="4" w:space="0" w:color="auto"/>
                    <w:right w:val="single" w:sz="4" w:space="0" w:color="auto"/>
                  </w:tcBorders>
                  <w:vAlign w:val="center"/>
                  <w:hideMark/>
                </w:tcPr>
                <w:p w14:paraId="367EAFAF" w14:textId="77777777" w:rsidR="003B797C" w:rsidRPr="003B797C" w:rsidRDefault="003B797C" w:rsidP="003B797C">
                  <w:pPr>
                    <w:ind w:firstLine="0"/>
                    <w:jc w:val="center"/>
                    <w:rPr>
                      <w:lang w:val="ro-RO" w:eastAsia="ro-RO"/>
                    </w:rPr>
                  </w:pPr>
                  <w:r w:rsidRPr="003B797C">
                    <w:rPr>
                      <w:lang w:val="ro-RO" w:eastAsia="ro-RO"/>
                    </w:rPr>
                    <w:t>7</w:t>
                  </w:r>
                </w:p>
              </w:tc>
              <w:tc>
                <w:tcPr>
                  <w:tcW w:w="1986" w:type="pct"/>
                  <w:vMerge/>
                  <w:tcBorders>
                    <w:left w:val="single" w:sz="4" w:space="0" w:color="auto"/>
                    <w:right w:val="single" w:sz="4" w:space="0" w:color="auto"/>
                  </w:tcBorders>
                  <w:vAlign w:val="center"/>
                  <w:hideMark/>
                </w:tcPr>
                <w:p w14:paraId="3526ADE8" w14:textId="77777777" w:rsidR="003B797C" w:rsidRPr="003B797C" w:rsidRDefault="003B797C" w:rsidP="003B797C">
                  <w:pPr>
                    <w:ind w:firstLine="0"/>
                    <w:rPr>
                      <w:sz w:val="24"/>
                      <w:szCs w:val="24"/>
                      <w:lang w:val="ro-RO" w:eastAsia="ro-RO"/>
                    </w:rPr>
                  </w:pPr>
                </w:p>
              </w:tc>
              <w:tc>
                <w:tcPr>
                  <w:tcW w:w="127" w:type="pct"/>
                  <w:vAlign w:val="center"/>
                  <w:hideMark/>
                </w:tcPr>
                <w:p w14:paraId="27EA7540" w14:textId="77777777" w:rsidR="003B797C" w:rsidRPr="003B797C" w:rsidRDefault="003B797C" w:rsidP="003B797C">
                  <w:pPr>
                    <w:ind w:firstLine="0"/>
                    <w:rPr>
                      <w:sz w:val="24"/>
                      <w:szCs w:val="24"/>
                      <w:lang w:val="ro-RO" w:eastAsia="ro-RO"/>
                    </w:rPr>
                  </w:pPr>
                </w:p>
              </w:tc>
            </w:tr>
            <w:tr w:rsidR="003B797C" w:rsidRPr="003B797C" w14:paraId="3032F113" w14:textId="77777777" w:rsidTr="000B0BE3">
              <w:trPr>
                <w:trHeight w:val="300"/>
              </w:trPr>
              <w:tc>
                <w:tcPr>
                  <w:tcW w:w="376" w:type="pct"/>
                  <w:vMerge/>
                  <w:tcBorders>
                    <w:top w:val="nil"/>
                    <w:left w:val="single" w:sz="4" w:space="0" w:color="auto"/>
                    <w:bottom w:val="single" w:sz="4" w:space="0" w:color="auto"/>
                    <w:right w:val="single" w:sz="4" w:space="0" w:color="auto"/>
                  </w:tcBorders>
                  <w:vAlign w:val="center"/>
                  <w:hideMark/>
                </w:tcPr>
                <w:p w14:paraId="7D1E9FF2"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1AEAF224" w14:textId="77777777" w:rsidR="003B797C" w:rsidRPr="003B797C" w:rsidRDefault="003B797C" w:rsidP="003B797C">
                  <w:pPr>
                    <w:ind w:firstLine="0"/>
                    <w:rPr>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4257FFDB" w14:textId="77777777" w:rsidR="003B797C" w:rsidRPr="003B797C" w:rsidRDefault="003B797C" w:rsidP="003B797C">
                  <w:pPr>
                    <w:ind w:firstLine="0"/>
                    <w:jc w:val="center"/>
                    <w:rPr>
                      <w:lang w:val="ro-RO" w:eastAsia="ro-RO"/>
                    </w:rPr>
                  </w:pPr>
                </w:p>
              </w:tc>
              <w:tc>
                <w:tcPr>
                  <w:tcW w:w="1986" w:type="pct"/>
                  <w:vMerge/>
                  <w:tcBorders>
                    <w:left w:val="single" w:sz="4" w:space="0" w:color="auto"/>
                    <w:right w:val="single" w:sz="4" w:space="0" w:color="auto"/>
                  </w:tcBorders>
                  <w:vAlign w:val="center"/>
                  <w:hideMark/>
                </w:tcPr>
                <w:p w14:paraId="44FF57EA"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12DC804E" w14:textId="77777777" w:rsidR="003B797C" w:rsidRPr="003B797C" w:rsidRDefault="003B797C" w:rsidP="003B797C">
                  <w:pPr>
                    <w:ind w:firstLine="0"/>
                    <w:rPr>
                      <w:sz w:val="24"/>
                      <w:szCs w:val="24"/>
                      <w:lang w:val="ro-RO" w:eastAsia="ro-RO"/>
                    </w:rPr>
                  </w:pPr>
                </w:p>
              </w:tc>
            </w:tr>
            <w:tr w:rsidR="003B797C" w:rsidRPr="003B797C" w14:paraId="6E4D22E5"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2D573D58"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06D931D6" w14:textId="77777777" w:rsidR="003B797C" w:rsidRPr="003B797C" w:rsidRDefault="003B797C" w:rsidP="003B797C">
                  <w:pPr>
                    <w:ind w:firstLine="0"/>
                    <w:rPr>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5559A28D" w14:textId="77777777" w:rsidR="003B797C" w:rsidRPr="003B797C" w:rsidRDefault="003B797C" w:rsidP="003B797C">
                  <w:pPr>
                    <w:ind w:firstLine="0"/>
                    <w:jc w:val="center"/>
                    <w:rPr>
                      <w:lang w:val="ro-RO" w:eastAsia="ro-RO"/>
                    </w:rPr>
                  </w:pPr>
                </w:p>
              </w:tc>
              <w:tc>
                <w:tcPr>
                  <w:tcW w:w="1986" w:type="pct"/>
                  <w:vMerge/>
                  <w:tcBorders>
                    <w:left w:val="single" w:sz="4" w:space="0" w:color="auto"/>
                    <w:right w:val="single" w:sz="4" w:space="0" w:color="auto"/>
                  </w:tcBorders>
                  <w:vAlign w:val="center"/>
                  <w:hideMark/>
                </w:tcPr>
                <w:p w14:paraId="6ABDE3D2"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11D9DF03" w14:textId="77777777" w:rsidR="003B797C" w:rsidRPr="003B797C" w:rsidRDefault="003B797C" w:rsidP="003B797C">
                  <w:pPr>
                    <w:ind w:firstLine="0"/>
                    <w:rPr>
                      <w:sz w:val="24"/>
                      <w:szCs w:val="24"/>
                      <w:lang w:val="ro-RO" w:eastAsia="ro-RO"/>
                    </w:rPr>
                  </w:pPr>
                </w:p>
              </w:tc>
            </w:tr>
            <w:tr w:rsidR="003B797C" w:rsidRPr="003B797C" w14:paraId="03E0F12F"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20409CDC"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69CE6C86" w14:textId="77777777" w:rsidR="003B797C" w:rsidRPr="003B797C" w:rsidRDefault="003B797C" w:rsidP="003B797C">
                  <w:pPr>
                    <w:ind w:firstLine="0"/>
                    <w:rPr>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2F265142" w14:textId="77777777" w:rsidR="003B797C" w:rsidRPr="003B797C" w:rsidRDefault="003B797C" w:rsidP="003B797C">
                  <w:pPr>
                    <w:ind w:firstLine="0"/>
                    <w:jc w:val="center"/>
                    <w:rPr>
                      <w:lang w:val="ro-RO" w:eastAsia="ro-RO"/>
                    </w:rPr>
                  </w:pPr>
                </w:p>
              </w:tc>
              <w:tc>
                <w:tcPr>
                  <w:tcW w:w="1986" w:type="pct"/>
                  <w:vMerge/>
                  <w:tcBorders>
                    <w:left w:val="single" w:sz="4" w:space="0" w:color="auto"/>
                    <w:right w:val="single" w:sz="4" w:space="0" w:color="auto"/>
                  </w:tcBorders>
                  <w:vAlign w:val="center"/>
                  <w:hideMark/>
                </w:tcPr>
                <w:p w14:paraId="6C081F20"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0E9EF9C7" w14:textId="77777777" w:rsidR="003B797C" w:rsidRPr="003B797C" w:rsidRDefault="003B797C" w:rsidP="003B797C">
                  <w:pPr>
                    <w:ind w:firstLine="0"/>
                    <w:rPr>
                      <w:sz w:val="24"/>
                      <w:szCs w:val="24"/>
                      <w:lang w:val="ro-RO" w:eastAsia="ro-RO"/>
                    </w:rPr>
                  </w:pPr>
                </w:p>
              </w:tc>
            </w:tr>
            <w:tr w:rsidR="003B797C" w:rsidRPr="003B797C" w14:paraId="12876196"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679139CA"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4962F08B" w14:textId="77777777" w:rsidR="003B797C" w:rsidRPr="003B797C" w:rsidRDefault="003B797C" w:rsidP="003B797C">
                  <w:pPr>
                    <w:ind w:firstLine="0"/>
                    <w:rPr>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73B2EF7E" w14:textId="77777777" w:rsidR="003B797C" w:rsidRPr="003B797C" w:rsidRDefault="003B797C" w:rsidP="003B797C">
                  <w:pPr>
                    <w:ind w:firstLine="0"/>
                    <w:jc w:val="center"/>
                    <w:rPr>
                      <w:lang w:val="ro-RO" w:eastAsia="ro-RO"/>
                    </w:rPr>
                  </w:pPr>
                </w:p>
              </w:tc>
              <w:tc>
                <w:tcPr>
                  <w:tcW w:w="1986" w:type="pct"/>
                  <w:vMerge/>
                  <w:tcBorders>
                    <w:left w:val="single" w:sz="4" w:space="0" w:color="auto"/>
                    <w:right w:val="single" w:sz="4" w:space="0" w:color="auto"/>
                  </w:tcBorders>
                  <w:vAlign w:val="center"/>
                  <w:hideMark/>
                </w:tcPr>
                <w:p w14:paraId="329A9D4D"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7091556E" w14:textId="77777777" w:rsidR="003B797C" w:rsidRPr="003B797C" w:rsidRDefault="003B797C" w:rsidP="003B797C">
                  <w:pPr>
                    <w:ind w:firstLine="0"/>
                    <w:rPr>
                      <w:sz w:val="24"/>
                      <w:szCs w:val="24"/>
                      <w:lang w:val="ro-RO" w:eastAsia="ro-RO"/>
                    </w:rPr>
                  </w:pPr>
                </w:p>
              </w:tc>
            </w:tr>
            <w:tr w:rsidR="003B797C" w:rsidRPr="003B797C" w14:paraId="4ABCB0C1"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6EB77E72"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107ADC25" w14:textId="77777777" w:rsidR="003B797C" w:rsidRPr="003B797C" w:rsidRDefault="003B797C" w:rsidP="003B797C">
                  <w:pPr>
                    <w:ind w:firstLine="0"/>
                    <w:rPr>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545C2D50" w14:textId="77777777" w:rsidR="003B797C" w:rsidRPr="003B797C" w:rsidRDefault="003B797C" w:rsidP="003B797C">
                  <w:pPr>
                    <w:ind w:firstLine="0"/>
                    <w:jc w:val="center"/>
                    <w:rPr>
                      <w:lang w:val="ro-RO" w:eastAsia="ro-RO"/>
                    </w:rPr>
                  </w:pPr>
                </w:p>
              </w:tc>
              <w:tc>
                <w:tcPr>
                  <w:tcW w:w="1986" w:type="pct"/>
                  <w:vMerge/>
                  <w:tcBorders>
                    <w:left w:val="single" w:sz="4" w:space="0" w:color="auto"/>
                    <w:right w:val="single" w:sz="4" w:space="0" w:color="auto"/>
                  </w:tcBorders>
                  <w:vAlign w:val="center"/>
                  <w:hideMark/>
                </w:tcPr>
                <w:p w14:paraId="6F4346E7"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0303FAE4" w14:textId="77777777" w:rsidR="003B797C" w:rsidRPr="003B797C" w:rsidRDefault="003B797C" w:rsidP="003B797C">
                  <w:pPr>
                    <w:ind w:firstLine="0"/>
                    <w:rPr>
                      <w:sz w:val="24"/>
                      <w:szCs w:val="24"/>
                      <w:lang w:val="ro-RO" w:eastAsia="ro-RO"/>
                    </w:rPr>
                  </w:pPr>
                </w:p>
              </w:tc>
            </w:tr>
            <w:tr w:rsidR="003B797C" w:rsidRPr="003B797C" w14:paraId="4BAAD0F6" w14:textId="77777777" w:rsidTr="000B0BE3">
              <w:trPr>
                <w:trHeight w:val="315"/>
              </w:trPr>
              <w:tc>
                <w:tcPr>
                  <w:tcW w:w="376" w:type="pct"/>
                  <w:vMerge w:val="restart"/>
                  <w:tcBorders>
                    <w:top w:val="nil"/>
                    <w:left w:val="single" w:sz="4" w:space="0" w:color="auto"/>
                    <w:bottom w:val="single" w:sz="4" w:space="0" w:color="auto"/>
                    <w:right w:val="single" w:sz="4" w:space="0" w:color="auto"/>
                  </w:tcBorders>
                  <w:vAlign w:val="center"/>
                  <w:hideMark/>
                </w:tcPr>
                <w:p w14:paraId="43D5B13C" w14:textId="77777777" w:rsidR="003B797C" w:rsidRPr="003B797C" w:rsidRDefault="003B797C" w:rsidP="003B797C">
                  <w:pPr>
                    <w:ind w:firstLine="0"/>
                    <w:rPr>
                      <w:sz w:val="24"/>
                      <w:szCs w:val="24"/>
                      <w:lang w:val="ro-RO" w:eastAsia="ro-RO"/>
                    </w:rPr>
                  </w:pPr>
                  <w:r w:rsidRPr="003B797C">
                    <w:rPr>
                      <w:sz w:val="24"/>
                      <w:szCs w:val="24"/>
                      <w:lang w:val="ro-RO" w:eastAsia="ro-RO"/>
                    </w:rPr>
                    <w:t>1.3.</w:t>
                  </w:r>
                </w:p>
              </w:tc>
              <w:tc>
                <w:tcPr>
                  <w:tcW w:w="1558" w:type="pct"/>
                  <w:vMerge w:val="restart"/>
                  <w:tcBorders>
                    <w:top w:val="nil"/>
                    <w:left w:val="single" w:sz="4" w:space="0" w:color="auto"/>
                    <w:bottom w:val="single" w:sz="4" w:space="0" w:color="auto"/>
                    <w:right w:val="single" w:sz="4" w:space="0" w:color="auto"/>
                  </w:tcBorders>
                  <w:vAlign w:val="center"/>
                  <w:hideMark/>
                </w:tcPr>
                <w:p w14:paraId="77FD2276" w14:textId="19DD96E7" w:rsidR="003B797C" w:rsidRPr="003B797C" w:rsidRDefault="003B797C" w:rsidP="003B797C">
                  <w:pPr>
                    <w:ind w:firstLine="0"/>
                    <w:rPr>
                      <w:lang w:val="ro-RO" w:eastAsia="ro-RO"/>
                    </w:rPr>
                  </w:pPr>
                  <w:r w:rsidRPr="003B797C">
                    <w:rPr>
                      <w:lang w:val="ro-RO" w:eastAsia="ro-RO"/>
                    </w:rPr>
                    <w:t>pentru instalațiile PV</w:t>
                  </w:r>
                  <w:r w:rsidR="00DA3989">
                    <w:rPr>
                      <w:lang w:val="ro-RO" w:eastAsia="ro-RO"/>
                    </w:rPr>
                    <w:t xml:space="preserve"> </w:t>
                  </w:r>
                  <w:r w:rsidRPr="003B797C">
                    <w:rPr>
                      <w:lang w:val="ro-RO" w:eastAsia="ro-RO"/>
                    </w:rPr>
                    <w:t xml:space="preserve">montate de către alți consumatori finali decât cei </w:t>
                  </w:r>
                  <w:r w:rsidRPr="003B797C">
                    <w:rPr>
                      <w:lang w:val="ro-RO" w:eastAsia="ro-RO"/>
                    </w:rPr>
                    <w:lastRenderedPageBreak/>
                    <w:t>de la pct. 1.1 și 1.2</w:t>
                  </w:r>
                </w:p>
              </w:tc>
              <w:tc>
                <w:tcPr>
                  <w:tcW w:w="952" w:type="pct"/>
                  <w:vMerge w:val="restart"/>
                  <w:tcBorders>
                    <w:top w:val="nil"/>
                    <w:left w:val="single" w:sz="4" w:space="0" w:color="auto"/>
                    <w:bottom w:val="single" w:sz="4" w:space="0" w:color="auto"/>
                    <w:right w:val="single" w:sz="4" w:space="0" w:color="auto"/>
                  </w:tcBorders>
                  <w:vAlign w:val="center"/>
                  <w:hideMark/>
                </w:tcPr>
                <w:p w14:paraId="451FF6A3" w14:textId="77777777" w:rsidR="003B797C" w:rsidRPr="003B797C" w:rsidRDefault="003B797C" w:rsidP="003B797C">
                  <w:pPr>
                    <w:ind w:firstLine="0"/>
                    <w:jc w:val="center"/>
                    <w:rPr>
                      <w:lang w:val="ro-RO" w:eastAsia="ro-RO"/>
                    </w:rPr>
                  </w:pPr>
                  <w:r w:rsidRPr="003B797C">
                    <w:rPr>
                      <w:lang w:val="ro-RO" w:eastAsia="ro-RO"/>
                    </w:rPr>
                    <w:lastRenderedPageBreak/>
                    <w:t>50</w:t>
                  </w:r>
                </w:p>
              </w:tc>
              <w:tc>
                <w:tcPr>
                  <w:tcW w:w="1986" w:type="pct"/>
                  <w:vMerge/>
                  <w:tcBorders>
                    <w:left w:val="single" w:sz="4" w:space="0" w:color="auto"/>
                    <w:right w:val="single" w:sz="4" w:space="0" w:color="auto"/>
                  </w:tcBorders>
                  <w:vAlign w:val="center"/>
                  <w:hideMark/>
                </w:tcPr>
                <w:p w14:paraId="7645A919" w14:textId="77777777" w:rsidR="003B797C" w:rsidRPr="003B797C" w:rsidRDefault="003B797C" w:rsidP="003B797C">
                  <w:pPr>
                    <w:ind w:firstLine="0"/>
                    <w:rPr>
                      <w:sz w:val="24"/>
                      <w:szCs w:val="24"/>
                      <w:lang w:val="ro-RO" w:eastAsia="ro-RO"/>
                    </w:rPr>
                  </w:pPr>
                </w:p>
              </w:tc>
              <w:tc>
                <w:tcPr>
                  <w:tcW w:w="127" w:type="pct"/>
                  <w:vAlign w:val="center"/>
                  <w:hideMark/>
                </w:tcPr>
                <w:p w14:paraId="697514C6" w14:textId="77777777" w:rsidR="003B797C" w:rsidRPr="003B797C" w:rsidRDefault="003B797C" w:rsidP="003B797C">
                  <w:pPr>
                    <w:ind w:firstLine="0"/>
                    <w:rPr>
                      <w:sz w:val="24"/>
                      <w:szCs w:val="24"/>
                      <w:lang w:val="ro-RO" w:eastAsia="ro-RO"/>
                    </w:rPr>
                  </w:pPr>
                </w:p>
              </w:tc>
            </w:tr>
            <w:tr w:rsidR="003B797C" w:rsidRPr="003B797C" w14:paraId="4DDE2B84" w14:textId="77777777" w:rsidTr="000B0BE3">
              <w:trPr>
                <w:trHeight w:val="300"/>
              </w:trPr>
              <w:tc>
                <w:tcPr>
                  <w:tcW w:w="376" w:type="pct"/>
                  <w:vMerge/>
                  <w:tcBorders>
                    <w:top w:val="nil"/>
                    <w:left w:val="single" w:sz="4" w:space="0" w:color="auto"/>
                    <w:bottom w:val="single" w:sz="4" w:space="0" w:color="auto"/>
                    <w:right w:val="single" w:sz="4" w:space="0" w:color="auto"/>
                  </w:tcBorders>
                  <w:vAlign w:val="center"/>
                  <w:hideMark/>
                </w:tcPr>
                <w:p w14:paraId="731F4FD2"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13461F0E"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042227FE" w14:textId="77777777" w:rsidR="003B797C" w:rsidRPr="003B797C" w:rsidRDefault="003B797C" w:rsidP="003B797C">
                  <w:pPr>
                    <w:ind w:firstLine="0"/>
                    <w:rPr>
                      <w:sz w:val="24"/>
                      <w:szCs w:val="24"/>
                      <w:lang w:val="ro-RO" w:eastAsia="ro-RO"/>
                    </w:rPr>
                  </w:pPr>
                </w:p>
              </w:tc>
              <w:tc>
                <w:tcPr>
                  <w:tcW w:w="1986" w:type="pct"/>
                  <w:vMerge/>
                  <w:tcBorders>
                    <w:left w:val="single" w:sz="4" w:space="0" w:color="auto"/>
                    <w:right w:val="single" w:sz="4" w:space="0" w:color="auto"/>
                  </w:tcBorders>
                  <w:vAlign w:val="center"/>
                  <w:hideMark/>
                </w:tcPr>
                <w:p w14:paraId="2D64EED3"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142AED4C" w14:textId="77777777" w:rsidR="003B797C" w:rsidRPr="003B797C" w:rsidRDefault="003B797C" w:rsidP="003B797C">
                  <w:pPr>
                    <w:ind w:firstLine="0"/>
                    <w:rPr>
                      <w:sz w:val="24"/>
                      <w:szCs w:val="24"/>
                      <w:lang w:val="ro-RO" w:eastAsia="ro-RO"/>
                    </w:rPr>
                  </w:pPr>
                </w:p>
              </w:tc>
            </w:tr>
            <w:tr w:rsidR="003B797C" w:rsidRPr="003B797C" w14:paraId="7D13D0F8"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5F38358D"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0A6B50D2"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52083FA9" w14:textId="77777777" w:rsidR="003B797C" w:rsidRPr="003B797C" w:rsidRDefault="003B797C" w:rsidP="003B797C">
                  <w:pPr>
                    <w:ind w:firstLine="0"/>
                    <w:rPr>
                      <w:sz w:val="24"/>
                      <w:szCs w:val="24"/>
                      <w:lang w:val="ro-RO" w:eastAsia="ro-RO"/>
                    </w:rPr>
                  </w:pPr>
                </w:p>
              </w:tc>
              <w:tc>
                <w:tcPr>
                  <w:tcW w:w="1986" w:type="pct"/>
                  <w:vMerge/>
                  <w:tcBorders>
                    <w:left w:val="single" w:sz="4" w:space="0" w:color="auto"/>
                    <w:right w:val="single" w:sz="4" w:space="0" w:color="auto"/>
                  </w:tcBorders>
                  <w:vAlign w:val="center"/>
                  <w:hideMark/>
                </w:tcPr>
                <w:p w14:paraId="217F1927"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23F4B015" w14:textId="77777777" w:rsidR="003B797C" w:rsidRPr="003B797C" w:rsidRDefault="003B797C" w:rsidP="003B797C">
                  <w:pPr>
                    <w:ind w:firstLine="0"/>
                    <w:rPr>
                      <w:sz w:val="24"/>
                      <w:szCs w:val="24"/>
                      <w:lang w:val="ro-RO" w:eastAsia="ro-RO"/>
                    </w:rPr>
                  </w:pPr>
                </w:p>
              </w:tc>
            </w:tr>
            <w:tr w:rsidR="003B797C" w:rsidRPr="003B797C" w14:paraId="68E4FD8F"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7C44B4E6"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72DCD0AA"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1C3E065E" w14:textId="77777777" w:rsidR="003B797C" w:rsidRPr="003B797C" w:rsidRDefault="003B797C" w:rsidP="003B797C">
                  <w:pPr>
                    <w:ind w:firstLine="0"/>
                    <w:rPr>
                      <w:sz w:val="24"/>
                      <w:szCs w:val="24"/>
                      <w:lang w:val="ro-RO" w:eastAsia="ro-RO"/>
                    </w:rPr>
                  </w:pPr>
                </w:p>
              </w:tc>
              <w:tc>
                <w:tcPr>
                  <w:tcW w:w="1986" w:type="pct"/>
                  <w:vMerge/>
                  <w:tcBorders>
                    <w:left w:val="single" w:sz="4" w:space="0" w:color="auto"/>
                    <w:right w:val="single" w:sz="4" w:space="0" w:color="auto"/>
                  </w:tcBorders>
                  <w:vAlign w:val="center"/>
                  <w:hideMark/>
                </w:tcPr>
                <w:p w14:paraId="1286FA53"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5F3E0224" w14:textId="77777777" w:rsidR="003B797C" w:rsidRPr="003B797C" w:rsidRDefault="003B797C" w:rsidP="003B797C">
                  <w:pPr>
                    <w:ind w:firstLine="0"/>
                    <w:rPr>
                      <w:sz w:val="24"/>
                      <w:szCs w:val="24"/>
                      <w:lang w:val="ro-RO" w:eastAsia="ro-RO"/>
                    </w:rPr>
                  </w:pPr>
                </w:p>
              </w:tc>
            </w:tr>
            <w:tr w:rsidR="003B797C" w:rsidRPr="003B797C" w14:paraId="598BD0C5" w14:textId="77777777" w:rsidTr="000B0BE3">
              <w:trPr>
                <w:trHeight w:val="315"/>
              </w:trPr>
              <w:tc>
                <w:tcPr>
                  <w:tcW w:w="376" w:type="pct"/>
                  <w:vMerge/>
                  <w:tcBorders>
                    <w:top w:val="nil"/>
                    <w:left w:val="single" w:sz="4" w:space="0" w:color="auto"/>
                    <w:bottom w:val="single" w:sz="4" w:space="0" w:color="auto"/>
                    <w:right w:val="single" w:sz="4" w:space="0" w:color="auto"/>
                  </w:tcBorders>
                  <w:vAlign w:val="center"/>
                  <w:hideMark/>
                </w:tcPr>
                <w:p w14:paraId="33E05907"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single" w:sz="4" w:space="0" w:color="auto"/>
                    <w:right w:val="single" w:sz="4" w:space="0" w:color="auto"/>
                  </w:tcBorders>
                  <w:vAlign w:val="center"/>
                  <w:hideMark/>
                </w:tcPr>
                <w:p w14:paraId="40C4219B"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single" w:sz="4" w:space="0" w:color="auto"/>
                    <w:right w:val="single" w:sz="4" w:space="0" w:color="auto"/>
                  </w:tcBorders>
                  <w:vAlign w:val="center"/>
                  <w:hideMark/>
                </w:tcPr>
                <w:p w14:paraId="3F4A1CC3" w14:textId="77777777" w:rsidR="003B797C" w:rsidRPr="003B797C" w:rsidRDefault="003B797C" w:rsidP="003B797C">
                  <w:pPr>
                    <w:ind w:firstLine="0"/>
                    <w:rPr>
                      <w:sz w:val="24"/>
                      <w:szCs w:val="24"/>
                      <w:lang w:val="ro-RO" w:eastAsia="ro-RO"/>
                    </w:rPr>
                  </w:pPr>
                </w:p>
              </w:tc>
              <w:tc>
                <w:tcPr>
                  <w:tcW w:w="1986" w:type="pct"/>
                  <w:vMerge/>
                  <w:tcBorders>
                    <w:left w:val="single" w:sz="4" w:space="0" w:color="auto"/>
                    <w:right w:val="single" w:sz="4" w:space="0" w:color="auto"/>
                  </w:tcBorders>
                  <w:vAlign w:val="center"/>
                  <w:hideMark/>
                </w:tcPr>
                <w:p w14:paraId="193E3C6F"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03A12EC4" w14:textId="77777777" w:rsidR="003B797C" w:rsidRPr="003B797C" w:rsidRDefault="003B797C" w:rsidP="003B797C">
                  <w:pPr>
                    <w:ind w:firstLine="0"/>
                    <w:rPr>
                      <w:sz w:val="24"/>
                      <w:szCs w:val="24"/>
                      <w:lang w:val="ro-RO" w:eastAsia="ro-RO"/>
                    </w:rPr>
                  </w:pPr>
                </w:p>
              </w:tc>
            </w:tr>
            <w:tr w:rsidR="003B797C" w:rsidRPr="003B797C" w14:paraId="54AE11EC" w14:textId="77777777" w:rsidTr="000B0BE3">
              <w:trPr>
                <w:trHeight w:val="315"/>
              </w:trPr>
              <w:tc>
                <w:tcPr>
                  <w:tcW w:w="376" w:type="pct"/>
                  <w:vMerge/>
                  <w:tcBorders>
                    <w:top w:val="nil"/>
                    <w:left w:val="single" w:sz="4" w:space="0" w:color="auto"/>
                    <w:bottom w:val="nil"/>
                    <w:right w:val="single" w:sz="4" w:space="0" w:color="auto"/>
                  </w:tcBorders>
                  <w:vAlign w:val="center"/>
                  <w:hideMark/>
                </w:tcPr>
                <w:p w14:paraId="63D4FEEA" w14:textId="77777777" w:rsidR="003B797C" w:rsidRPr="003B797C" w:rsidRDefault="003B797C" w:rsidP="003B797C">
                  <w:pPr>
                    <w:ind w:firstLine="0"/>
                    <w:rPr>
                      <w:sz w:val="24"/>
                      <w:szCs w:val="24"/>
                      <w:lang w:val="ro-RO" w:eastAsia="ro-RO"/>
                    </w:rPr>
                  </w:pPr>
                </w:p>
              </w:tc>
              <w:tc>
                <w:tcPr>
                  <w:tcW w:w="1558" w:type="pct"/>
                  <w:vMerge/>
                  <w:tcBorders>
                    <w:top w:val="nil"/>
                    <w:left w:val="single" w:sz="4" w:space="0" w:color="auto"/>
                    <w:bottom w:val="nil"/>
                    <w:right w:val="single" w:sz="4" w:space="0" w:color="auto"/>
                  </w:tcBorders>
                  <w:vAlign w:val="center"/>
                  <w:hideMark/>
                </w:tcPr>
                <w:p w14:paraId="7D443FAE" w14:textId="77777777" w:rsidR="003B797C" w:rsidRPr="003B797C" w:rsidRDefault="003B797C" w:rsidP="003B797C">
                  <w:pPr>
                    <w:ind w:firstLine="0"/>
                    <w:rPr>
                      <w:sz w:val="24"/>
                      <w:szCs w:val="24"/>
                      <w:lang w:val="ro-RO" w:eastAsia="ro-RO"/>
                    </w:rPr>
                  </w:pPr>
                </w:p>
              </w:tc>
              <w:tc>
                <w:tcPr>
                  <w:tcW w:w="952" w:type="pct"/>
                  <w:vMerge/>
                  <w:tcBorders>
                    <w:top w:val="nil"/>
                    <w:left w:val="single" w:sz="4" w:space="0" w:color="auto"/>
                    <w:bottom w:val="nil"/>
                    <w:right w:val="single" w:sz="4" w:space="0" w:color="auto"/>
                  </w:tcBorders>
                  <w:vAlign w:val="center"/>
                  <w:hideMark/>
                </w:tcPr>
                <w:p w14:paraId="3E4BECE6" w14:textId="77777777" w:rsidR="003B797C" w:rsidRPr="003B797C" w:rsidRDefault="003B797C" w:rsidP="003B797C">
                  <w:pPr>
                    <w:ind w:firstLine="0"/>
                    <w:rPr>
                      <w:sz w:val="24"/>
                      <w:szCs w:val="24"/>
                      <w:lang w:val="ro-RO" w:eastAsia="ro-RO"/>
                    </w:rPr>
                  </w:pPr>
                </w:p>
              </w:tc>
              <w:tc>
                <w:tcPr>
                  <w:tcW w:w="1986" w:type="pct"/>
                  <w:vMerge/>
                  <w:tcBorders>
                    <w:left w:val="single" w:sz="4" w:space="0" w:color="auto"/>
                    <w:bottom w:val="nil"/>
                    <w:right w:val="single" w:sz="4" w:space="0" w:color="auto"/>
                  </w:tcBorders>
                  <w:vAlign w:val="center"/>
                  <w:hideMark/>
                </w:tcPr>
                <w:p w14:paraId="01CC029C"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hideMark/>
                </w:tcPr>
                <w:p w14:paraId="0A8CBFFD" w14:textId="77777777" w:rsidR="003B797C" w:rsidRPr="003B797C" w:rsidRDefault="003B797C" w:rsidP="003B797C">
                  <w:pPr>
                    <w:ind w:firstLine="0"/>
                    <w:rPr>
                      <w:sz w:val="24"/>
                      <w:szCs w:val="24"/>
                      <w:lang w:val="ro-RO" w:eastAsia="ro-RO"/>
                    </w:rPr>
                  </w:pPr>
                </w:p>
              </w:tc>
            </w:tr>
            <w:tr w:rsidR="003B797C" w:rsidRPr="003B797C" w14:paraId="70A14934" w14:textId="77777777" w:rsidTr="000B0BE3">
              <w:trPr>
                <w:trHeight w:val="315"/>
              </w:trPr>
              <w:tc>
                <w:tcPr>
                  <w:tcW w:w="376" w:type="pct"/>
                  <w:tcBorders>
                    <w:top w:val="nil"/>
                    <w:left w:val="single" w:sz="4" w:space="0" w:color="auto"/>
                    <w:bottom w:val="single" w:sz="4" w:space="0" w:color="auto"/>
                    <w:right w:val="single" w:sz="4" w:space="0" w:color="auto"/>
                  </w:tcBorders>
                  <w:vAlign w:val="center"/>
                </w:tcPr>
                <w:p w14:paraId="34F2605E" w14:textId="77777777" w:rsidR="003B797C" w:rsidRPr="003B797C" w:rsidRDefault="003B797C" w:rsidP="003B797C">
                  <w:pPr>
                    <w:ind w:firstLine="0"/>
                    <w:rPr>
                      <w:sz w:val="24"/>
                      <w:szCs w:val="24"/>
                      <w:lang w:val="ro-RO" w:eastAsia="ro-RO"/>
                    </w:rPr>
                  </w:pPr>
                </w:p>
              </w:tc>
              <w:tc>
                <w:tcPr>
                  <w:tcW w:w="1558" w:type="pct"/>
                  <w:tcBorders>
                    <w:top w:val="nil"/>
                    <w:left w:val="single" w:sz="4" w:space="0" w:color="auto"/>
                    <w:bottom w:val="single" w:sz="4" w:space="0" w:color="auto"/>
                    <w:right w:val="single" w:sz="4" w:space="0" w:color="auto"/>
                  </w:tcBorders>
                  <w:vAlign w:val="center"/>
                </w:tcPr>
                <w:p w14:paraId="5167D84E" w14:textId="77777777" w:rsidR="003B797C" w:rsidRPr="003B797C" w:rsidRDefault="003B797C" w:rsidP="003B797C">
                  <w:pPr>
                    <w:ind w:firstLine="0"/>
                    <w:rPr>
                      <w:sz w:val="24"/>
                      <w:szCs w:val="24"/>
                      <w:lang w:val="ro-RO" w:eastAsia="ro-RO"/>
                    </w:rPr>
                  </w:pPr>
                </w:p>
              </w:tc>
              <w:tc>
                <w:tcPr>
                  <w:tcW w:w="952" w:type="pct"/>
                  <w:tcBorders>
                    <w:top w:val="nil"/>
                    <w:left w:val="single" w:sz="4" w:space="0" w:color="auto"/>
                    <w:bottom w:val="single" w:sz="4" w:space="0" w:color="auto"/>
                    <w:right w:val="single" w:sz="4" w:space="0" w:color="auto"/>
                  </w:tcBorders>
                  <w:vAlign w:val="center"/>
                </w:tcPr>
                <w:p w14:paraId="17E2003B" w14:textId="77777777" w:rsidR="003B797C" w:rsidRPr="003B797C" w:rsidRDefault="003B797C" w:rsidP="003B797C">
                  <w:pPr>
                    <w:ind w:firstLine="0"/>
                    <w:rPr>
                      <w:sz w:val="24"/>
                      <w:szCs w:val="24"/>
                      <w:lang w:val="ro-RO" w:eastAsia="ro-RO"/>
                    </w:rPr>
                  </w:pPr>
                </w:p>
              </w:tc>
              <w:tc>
                <w:tcPr>
                  <w:tcW w:w="1986" w:type="pct"/>
                  <w:tcBorders>
                    <w:top w:val="nil"/>
                    <w:left w:val="single" w:sz="4" w:space="0" w:color="auto"/>
                    <w:bottom w:val="single" w:sz="4" w:space="0" w:color="000000"/>
                    <w:right w:val="single" w:sz="4" w:space="0" w:color="auto"/>
                  </w:tcBorders>
                  <w:vAlign w:val="center"/>
                </w:tcPr>
                <w:p w14:paraId="542F8D62" w14:textId="77777777" w:rsidR="003B797C" w:rsidRPr="003B797C" w:rsidRDefault="003B797C" w:rsidP="003B797C">
                  <w:pPr>
                    <w:ind w:firstLine="0"/>
                    <w:rPr>
                      <w:sz w:val="24"/>
                      <w:szCs w:val="24"/>
                      <w:lang w:val="ro-RO" w:eastAsia="ro-RO"/>
                    </w:rPr>
                  </w:pPr>
                </w:p>
              </w:tc>
              <w:tc>
                <w:tcPr>
                  <w:tcW w:w="127" w:type="pct"/>
                  <w:tcBorders>
                    <w:top w:val="nil"/>
                    <w:left w:val="nil"/>
                    <w:bottom w:val="nil"/>
                    <w:right w:val="nil"/>
                  </w:tcBorders>
                  <w:noWrap/>
                  <w:vAlign w:val="bottom"/>
                </w:tcPr>
                <w:p w14:paraId="3F4FBA0D" w14:textId="77777777" w:rsidR="003B797C" w:rsidRPr="003B797C" w:rsidRDefault="003B797C" w:rsidP="003B797C">
                  <w:pPr>
                    <w:ind w:firstLine="0"/>
                    <w:rPr>
                      <w:sz w:val="24"/>
                      <w:szCs w:val="24"/>
                      <w:lang w:val="ro-RO" w:eastAsia="ro-RO"/>
                    </w:rPr>
                  </w:pPr>
                </w:p>
              </w:tc>
            </w:tr>
          </w:tbl>
          <w:p w14:paraId="5127BFD5" w14:textId="59A48E06" w:rsidR="0060760B" w:rsidRPr="003B797C" w:rsidRDefault="0060760B" w:rsidP="0008020B">
            <w:pPr>
              <w:pBdr>
                <w:top w:val="none" w:sz="4" w:space="0" w:color="000000"/>
                <w:left w:val="none" w:sz="4" w:space="0" w:color="000000"/>
                <w:bottom w:val="none" w:sz="4" w:space="0" w:color="000000"/>
                <w:right w:val="none" w:sz="4" w:space="0" w:color="000000"/>
              </w:pBdr>
              <w:ind w:firstLine="0"/>
              <w:rPr>
                <w:rFonts w:ascii="Times New Roman" w:hAnsi="Times New Roman"/>
                <w:sz w:val="24"/>
                <w:szCs w:val="24"/>
              </w:rPr>
            </w:pPr>
          </w:p>
        </w:tc>
        <w:tc>
          <w:tcPr>
            <w:tcW w:w="4875" w:type="dxa"/>
            <w:tcBorders>
              <w:top w:val="none" w:sz="4" w:space="0" w:color="000000"/>
              <w:left w:val="none" w:sz="4" w:space="0" w:color="000000"/>
              <w:bottom w:val="none" w:sz="4" w:space="0" w:color="000000"/>
              <w:right w:val="single" w:sz="8" w:space="0" w:color="000000"/>
            </w:tcBorders>
            <w:tcMar>
              <w:top w:w="0" w:type="dxa"/>
              <w:left w:w="108" w:type="dxa"/>
              <w:bottom w:w="0" w:type="dxa"/>
              <w:right w:w="108" w:type="dxa"/>
            </w:tcMar>
          </w:tcPr>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1505"/>
              <w:gridCol w:w="1283"/>
              <w:gridCol w:w="1861"/>
            </w:tblGrid>
            <w:tr w:rsidR="003B797C" w:rsidRPr="00302564" w14:paraId="50BCA472" w14:textId="77777777" w:rsidTr="004D64BB">
              <w:trPr>
                <w:trHeight w:val="1738"/>
              </w:trPr>
              <w:tc>
                <w:tcPr>
                  <w:tcW w:w="779" w:type="pct"/>
                </w:tcPr>
                <w:p w14:paraId="16C9D66A" w14:textId="77777777" w:rsidR="003B797C" w:rsidRDefault="003B797C" w:rsidP="003B797C">
                  <w:pPr>
                    <w:ind w:firstLine="0"/>
                    <w:jc w:val="center"/>
                    <w:rPr>
                      <w:b/>
                      <w:bCs/>
                      <w:lang w:val="ro-RO" w:eastAsia="ro-RO"/>
                    </w:rPr>
                  </w:pPr>
                  <w:r w:rsidRPr="00302564">
                    <w:rPr>
                      <w:b/>
                      <w:bCs/>
                      <w:lang w:val="ro-RO" w:eastAsia="ro-RO"/>
                    </w:rPr>
                    <w:lastRenderedPageBreak/>
                    <w:t>Cota de capacitate pentru implementarea mecanismului de facturare netă, MW</w:t>
                  </w:r>
                </w:p>
              </w:tc>
              <w:tc>
                <w:tcPr>
                  <w:tcW w:w="1693" w:type="pct"/>
                  <w:vAlign w:val="center"/>
                  <w:hideMark/>
                </w:tcPr>
                <w:p w14:paraId="583363F1" w14:textId="77777777" w:rsidR="003B797C" w:rsidRPr="00302564" w:rsidRDefault="003B797C" w:rsidP="003B797C">
                  <w:pPr>
                    <w:ind w:firstLine="0"/>
                    <w:jc w:val="center"/>
                    <w:rPr>
                      <w:b/>
                      <w:bCs/>
                      <w:lang w:val="ro-RO" w:eastAsia="ro-RO"/>
                    </w:rPr>
                  </w:pPr>
                  <w:r>
                    <w:rPr>
                      <w:b/>
                      <w:bCs/>
                      <w:lang w:val="ro-RO" w:eastAsia="ro-RO"/>
                    </w:rPr>
                    <w:t>Categoria de consumatori</w:t>
                  </w:r>
                </w:p>
              </w:tc>
              <w:tc>
                <w:tcPr>
                  <w:tcW w:w="2528" w:type="pct"/>
                  <w:vAlign w:val="center"/>
                  <w:hideMark/>
                </w:tcPr>
                <w:p w14:paraId="468E00AC" w14:textId="77777777" w:rsidR="003B797C" w:rsidRPr="00302564" w:rsidRDefault="003B797C" w:rsidP="003B797C">
                  <w:pPr>
                    <w:ind w:firstLine="0"/>
                    <w:jc w:val="center"/>
                    <w:rPr>
                      <w:b/>
                      <w:bCs/>
                      <w:lang w:val="ro-RO" w:eastAsia="ro-RO"/>
                    </w:rPr>
                  </w:pPr>
                  <w:r w:rsidRPr="00302564">
                    <w:rPr>
                      <w:b/>
                      <w:bCs/>
                      <w:lang w:val="ro-RO" w:eastAsia="ro-RO"/>
                    </w:rPr>
                    <w:t>Plafoanele de capacitate individuale</w:t>
                  </w:r>
                  <w:r w:rsidRPr="00302564">
                    <w:rPr>
                      <w:lang w:val="ro-RO" w:eastAsia="ro-RO"/>
                    </w:rPr>
                    <w:t>,</w:t>
                  </w:r>
                  <w:r w:rsidRPr="00302564">
                    <w:rPr>
                      <w:b/>
                      <w:bCs/>
                      <w:lang w:val="ro-RO" w:eastAsia="ro-RO"/>
                    </w:rPr>
                    <w:t xml:space="preserve"> kW</w:t>
                  </w:r>
                </w:p>
              </w:tc>
            </w:tr>
            <w:tr w:rsidR="003B797C" w:rsidRPr="00302564" w14:paraId="249750A4" w14:textId="77777777" w:rsidTr="004D64BB">
              <w:trPr>
                <w:trHeight w:val="3980"/>
              </w:trPr>
              <w:tc>
                <w:tcPr>
                  <w:tcW w:w="779" w:type="pct"/>
                  <w:vMerge w:val="restart"/>
                  <w:vAlign w:val="center"/>
                </w:tcPr>
                <w:p w14:paraId="6FFD7AB5" w14:textId="77777777" w:rsidR="003B797C" w:rsidRPr="00302564" w:rsidRDefault="003B797C" w:rsidP="003B797C">
                  <w:pPr>
                    <w:ind w:firstLine="0"/>
                    <w:jc w:val="center"/>
                    <w:rPr>
                      <w:lang w:val="ro-RO" w:eastAsia="ro-RO"/>
                    </w:rPr>
                  </w:pPr>
                  <w:r w:rsidRPr="000461E8">
                    <w:rPr>
                      <w:lang w:val="ro-RO" w:eastAsia="ro-RO"/>
                    </w:rPr>
                    <w:t>100</w:t>
                  </w:r>
                </w:p>
              </w:tc>
              <w:tc>
                <w:tcPr>
                  <w:tcW w:w="1693" w:type="pct"/>
                  <w:vAlign w:val="center"/>
                  <w:hideMark/>
                </w:tcPr>
                <w:p w14:paraId="6A597507" w14:textId="77777777" w:rsidR="003B797C" w:rsidRPr="00302564" w:rsidRDefault="003B797C" w:rsidP="003B797C">
                  <w:pPr>
                    <w:ind w:firstLine="0"/>
                    <w:rPr>
                      <w:lang w:val="ro-RO" w:eastAsia="ro-RO"/>
                    </w:rPr>
                  </w:pPr>
                  <w:r>
                    <w:rPr>
                      <w:lang w:val="ro-RO" w:eastAsia="ro-RO"/>
                    </w:rPr>
                    <w:t>C</w:t>
                  </w:r>
                  <w:r w:rsidRPr="00302564">
                    <w:rPr>
                      <w:lang w:val="ro-RO" w:eastAsia="ro-RO"/>
                    </w:rPr>
                    <w:t>onsumatori casnici</w:t>
                  </w:r>
                  <w:r>
                    <w:rPr>
                      <w:lang w:val="ro-RO" w:eastAsia="ro-RO"/>
                    </w:rPr>
                    <w:t xml:space="preserve"> </w:t>
                  </w:r>
                </w:p>
              </w:tc>
              <w:tc>
                <w:tcPr>
                  <w:tcW w:w="2528" w:type="pct"/>
                  <w:vAlign w:val="center"/>
                  <w:hideMark/>
                </w:tcPr>
                <w:p w14:paraId="04EB7061" w14:textId="77777777" w:rsidR="003B797C" w:rsidRDefault="003B797C" w:rsidP="003B797C">
                  <w:pPr>
                    <w:ind w:firstLine="0"/>
                    <w:rPr>
                      <w:lang w:val="ro-RO" w:eastAsia="ro-RO"/>
                    </w:rPr>
                  </w:pPr>
                  <w:r>
                    <w:rPr>
                      <w:lang w:val="ro-RO" w:eastAsia="ro-RO"/>
                    </w:rPr>
                    <w:t>Consumatorii casnici pot alege între:</w:t>
                  </w:r>
                </w:p>
                <w:p w14:paraId="5742DCC1" w14:textId="2C46F5C4" w:rsidR="003B797C" w:rsidRDefault="003B797C" w:rsidP="003B797C">
                  <w:pPr>
                    <w:ind w:firstLine="0"/>
                    <w:rPr>
                      <w:lang w:val="ro-RO" w:eastAsia="ro-RO"/>
                    </w:rPr>
                  </w:pPr>
                  <w:r>
                    <w:rPr>
                      <w:lang w:val="ro-RO" w:eastAsia="ro-RO"/>
                    </w:rPr>
                    <w:t>Un p</w:t>
                  </w:r>
                  <w:r w:rsidRPr="00D81213">
                    <w:rPr>
                      <w:lang w:val="ro-RO" w:eastAsia="ro-RO"/>
                    </w:rPr>
                    <w:t>lafon de capacitate</w:t>
                  </w:r>
                  <w:r>
                    <w:rPr>
                      <w:lang w:val="ro-RO" w:eastAsia="ro-RO"/>
                    </w:rPr>
                    <w:t xml:space="preserve"> individuală care este mai mic sau egal cu </w:t>
                  </w:r>
                  <w:r w:rsidR="00877548">
                    <w:rPr>
                      <w:lang w:val="ro-RO" w:eastAsia="ro-RO"/>
                    </w:rPr>
                    <w:t>10</w:t>
                  </w:r>
                  <w:r>
                    <w:rPr>
                      <w:lang w:val="ro-RO" w:eastAsia="ro-RO"/>
                    </w:rPr>
                    <w:t xml:space="preserve"> kW; sau </w:t>
                  </w:r>
                </w:p>
                <w:p w14:paraId="3B1BB5B3" w14:textId="77777777" w:rsidR="003B797C" w:rsidRDefault="003B797C" w:rsidP="003B797C">
                  <w:pPr>
                    <w:ind w:firstLine="0"/>
                    <w:rPr>
                      <w:lang w:val="ro-RO" w:eastAsia="ro-RO"/>
                    </w:rPr>
                  </w:pPr>
                </w:p>
                <w:p w14:paraId="311668D9" w14:textId="77777777" w:rsidR="003B797C" w:rsidRPr="00302564" w:rsidRDefault="003B797C" w:rsidP="003B797C">
                  <w:pPr>
                    <w:ind w:firstLine="0"/>
                    <w:rPr>
                      <w:lang w:val="ro-RO" w:eastAsia="ro-RO"/>
                    </w:rPr>
                  </w:pPr>
                  <w:r>
                    <w:rPr>
                      <w:lang w:val="ro-RO" w:eastAsia="ro-RO"/>
                    </w:rPr>
                    <w:t xml:space="preserve">Un plafon de capacitate individuală </w:t>
                  </w:r>
                  <w:r w:rsidRPr="00302564">
                    <w:rPr>
                      <w:lang w:val="ro-RO" w:eastAsia="ro-RO"/>
                    </w:rPr>
                    <w:t>determin</w:t>
                  </w:r>
                  <w:r>
                    <w:rPr>
                      <w:lang w:val="ro-RO" w:eastAsia="ro-RO"/>
                    </w:rPr>
                    <w:t xml:space="preserve">at </w:t>
                  </w:r>
                  <w:r w:rsidRPr="00302564">
                    <w:rPr>
                      <w:lang w:val="ro-RO" w:eastAsia="ro-RO"/>
                    </w:rPr>
                    <w:t>conform formulei:</w:t>
                  </w:r>
                </w:p>
                <w:p w14:paraId="43C117FC" w14:textId="77777777" w:rsidR="003B797C" w:rsidRPr="00302564" w:rsidRDefault="003B797C" w:rsidP="003B797C">
                  <w:pPr>
                    <w:ind w:firstLine="0"/>
                    <w:jc w:val="center"/>
                    <w:rPr>
                      <w:lang w:val="ro-RO" w:eastAsia="ro-RO"/>
                    </w:rPr>
                  </w:pPr>
                  <m:oMath>
                    <m:r>
                      <w:rPr>
                        <w:rFonts w:ascii="Cambria Math" w:hAnsi="Cambria Math"/>
                        <w:lang w:val="ro-RO" w:eastAsia="ro-RO"/>
                      </w:rPr>
                      <m:t>PC=</m:t>
                    </m:r>
                    <m:f>
                      <m:fPr>
                        <m:ctrlPr>
                          <w:rPr>
                            <w:rFonts w:ascii="Cambria Math" w:hAnsi="Cambria Math"/>
                            <w:i/>
                            <w:lang w:val="ro-RO" w:eastAsia="ro-RO"/>
                          </w:rPr>
                        </m:ctrlPr>
                      </m:fPr>
                      <m:num>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num>
                      <m:den>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den>
                    </m:f>
                  </m:oMath>
                  <w:r w:rsidRPr="00302564">
                    <w:rPr>
                      <w:lang w:val="ro-RO" w:eastAsia="ro-RO"/>
                    </w:rPr>
                    <w:t xml:space="preserve"> ,</w:t>
                  </w:r>
                </w:p>
                <w:p w14:paraId="61C1FF81" w14:textId="77777777" w:rsidR="003B797C" w:rsidRPr="00302564" w:rsidRDefault="003B797C" w:rsidP="003B797C">
                  <w:pPr>
                    <w:ind w:firstLine="0"/>
                    <w:rPr>
                      <w:lang w:val="ro-RO" w:eastAsia="ro-RO"/>
                    </w:rPr>
                  </w:pPr>
                  <w:r w:rsidRPr="00302564">
                    <w:rPr>
                      <w:lang w:val="ro-RO" w:eastAsia="ro-RO"/>
                    </w:rPr>
                    <w:t>unde:</w:t>
                  </w:r>
                </w:p>
                <w:p w14:paraId="6A73D359" w14:textId="77777777" w:rsidR="003B797C" w:rsidRPr="00302564" w:rsidRDefault="003B797C" w:rsidP="003B797C">
                  <w:pPr>
                    <w:ind w:firstLine="0"/>
                    <w:rPr>
                      <w:lang w:val="ro-RO" w:eastAsia="ro-RO"/>
                    </w:rPr>
                  </w:pPr>
                  <m:oMath>
                    <m:r>
                      <w:rPr>
                        <w:rFonts w:ascii="Cambria Math" w:hAnsi="Cambria Math"/>
                        <w:lang w:val="ro-RO" w:eastAsia="ro-RO"/>
                      </w:rPr>
                      <m:t>PC</m:t>
                    </m:r>
                  </m:oMath>
                  <w:r w:rsidRPr="00302564">
                    <w:rPr>
                      <w:lang w:val="ro-RO" w:eastAsia="ro-RO"/>
                    </w:rPr>
                    <w:t xml:space="preserve"> este plafonul de capacitate individual</w:t>
                  </w:r>
                  <w:r>
                    <w:rPr>
                      <w:lang w:val="ro-RO" w:eastAsia="ro-RO"/>
                    </w:rPr>
                    <w:t>ă</w:t>
                  </w:r>
                  <w:r w:rsidRPr="00302564">
                    <w:rPr>
                      <w:lang w:val="ro-RO" w:eastAsia="ro-RO"/>
                    </w:rPr>
                    <w:t xml:space="preserve"> calculat pentru consumatorul respectiv;</w:t>
                  </w:r>
                </w:p>
                <w:p w14:paraId="787FF537" w14:textId="77777777" w:rsidR="003B797C" w:rsidRPr="00302564" w:rsidRDefault="00000000" w:rsidP="003B797C">
                  <w:pPr>
                    <w:ind w:firstLine="0"/>
                    <w:rPr>
                      <w:lang w:val="ro-RO" w:eastAsia="ro-RO"/>
                    </w:rPr>
                  </w:pPr>
                  <m:oMath>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oMath>
                  <w:r w:rsidR="003B797C" w:rsidRPr="00302564">
                    <w:rPr>
                      <w:lang w:val="ro-RO" w:eastAsia="ro-RO"/>
                    </w:rPr>
                    <w:t xml:space="preserve"> – </w:t>
                  </w:r>
                </w:p>
                <w:p w14:paraId="5FEF30CC" w14:textId="77777777" w:rsidR="003B797C" w:rsidRPr="00302564" w:rsidRDefault="003B797C" w:rsidP="003B797C">
                  <w:pPr>
                    <w:ind w:firstLine="0"/>
                    <w:rPr>
                      <w:lang w:val="ro-RO" w:eastAsia="ro-RO"/>
                    </w:rPr>
                  </w:pPr>
                  <w:r w:rsidRPr="00302564">
                    <w:rPr>
                      <w:lang w:val="ro-RO" w:eastAsia="ro-RO"/>
                    </w:rPr>
                    <w:t xml:space="preserve"> valoarea maximă a consumului anual din ultimii 3 ani calendaristici a consumatorului final de energie electrică</w:t>
                  </w:r>
                  <w:r>
                    <w:rPr>
                      <w:lang w:val="ro-RO" w:eastAsia="ro-RO"/>
                    </w:rPr>
                    <w:t>;</w:t>
                  </w:r>
                </w:p>
                <w:p w14:paraId="762FD8A6" w14:textId="13142A45" w:rsidR="003B797C" w:rsidRPr="00302564" w:rsidRDefault="00000000" w:rsidP="003B797C">
                  <w:pPr>
                    <w:ind w:firstLine="0"/>
                    <w:rPr>
                      <w:lang w:val="ro-RO" w:eastAsia="ro-RO"/>
                    </w:rPr>
                  </w:pPr>
                  <m:oMath>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oMath>
                  <w:r w:rsidR="003B797C" w:rsidRPr="00302564">
                    <w:rPr>
                      <w:lang w:val="ro-RO" w:eastAsia="ro-RO"/>
                    </w:rPr>
                    <w:t xml:space="preserve"> – </w:t>
                  </w:r>
                  <w:r w:rsidR="00366327" w:rsidRPr="00302564">
                    <w:rPr>
                      <w:lang w:val="ro-RO" w:eastAsia="ro-RO"/>
                    </w:rPr>
                    <w:t xml:space="preserve">coeficient ce exprimă energia electrică generată pe parcursul unui an calendaristic de o </w:t>
                  </w:r>
                  <w:r w:rsidR="00366327">
                    <w:rPr>
                      <w:lang w:val="ro-RO" w:eastAsia="ro-RO"/>
                    </w:rPr>
                    <w:t>centrală electrică</w:t>
                  </w:r>
                  <w:r w:rsidR="00366327" w:rsidRPr="009E79D3">
                    <w:rPr>
                      <w:lang w:val="ro-RO" w:eastAsia="ro-RO"/>
                    </w:rPr>
                    <w:t xml:space="preserve"> pentru producerea de energie electrică din </w:t>
                  </w:r>
                  <w:r w:rsidR="00366327">
                    <w:rPr>
                      <w:lang w:val="ro-RO" w:eastAsia="ro-RO"/>
                    </w:rPr>
                    <w:t xml:space="preserve">surse regenerabile de energie </w:t>
                  </w:r>
                  <w:r w:rsidR="00366327" w:rsidRPr="00302564">
                    <w:rPr>
                      <w:lang w:val="ro-RO" w:eastAsia="ro-RO"/>
                    </w:rPr>
                    <w:t>cu puterea instalată de 1 kW, care</w:t>
                  </w:r>
                  <w:r w:rsidR="00366327">
                    <w:rPr>
                      <w:lang w:val="ro-RO" w:eastAsia="ro-RO"/>
                    </w:rPr>
                    <w:t xml:space="preserve"> pentru: o </w:t>
                  </w:r>
                  <w:r w:rsidR="00366327">
                    <w:rPr>
                      <w:lang w:val="ro-RO" w:eastAsia="ro-RO"/>
                    </w:rPr>
                    <w:lastRenderedPageBreak/>
                    <w:t>instalație PV</w:t>
                  </w:r>
                  <w:r w:rsidR="00366327" w:rsidRPr="00302564">
                    <w:rPr>
                      <w:lang w:val="ro-RO" w:eastAsia="ro-RO"/>
                    </w:rPr>
                    <w:t xml:space="preserve"> este egală cu </w:t>
                  </w:r>
                  <w:r w:rsidR="00366327" w:rsidRPr="00302564">
                    <w:rPr>
                      <w:lang w:val="ro-RO"/>
                    </w:rPr>
                    <w:t>1200 kWh/kW</w:t>
                  </w:r>
                  <w:r w:rsidR="00366327">
                    <w:rPr>
                      <w:lang w:val="ro-RO"/>
                    </w:rPr>
                    <w:t>, pentru o instalație eoliană este egală cu 1600 kWh/kW iar pentru o instalație de biogaz este egală cu 6100 kWh/kW</w:t>
                  </w:r>
                </w:p>
              </w:tc>
            </w:tr>
            <w:tr w:rsidR="003B797C" w:rsidRPr="00302564" w14:paraId="1D4E3BD7" w14:textId="77777777" w:rsidTr="004D64BB">
              <w:trPr>
                <w:trHeight w:val="1226"/>
              </w:trPr>
              <w:tc>
                <w:tcPr>
                  <w:tcW w:w="779" w:type="pct"/>
                  <w:vMerge/>
                </w:tcPr>
                <w:p w14:paraId="5BFD72A0" w14:textId="77777777" w:rsidR="003B797C" w:rsidRPr="00302564" w:rsidRDefault="003B797C" w:rsidP="003B797C">
                  <w:pPr>
                    <w:ind w:firstLine="0"/>
                    <w:rPr>
                      <w:lang w:val="ro-RO" w:eastAsia="ro-RO"/>
                    </w:rPr>
                  </w:pPr>
                </w:p>
              </w:tc>
              <w:tc>
                <w:tcPr>
                  <w:tcW w:w="1693" w:type="pct"/>
                  <w:vAlign w:val="center"/>
                </w:tcPr>
                <w:p w14:paraId="2523562B" w14:textId="77777777" w:rsidR="003B797C" w:rsidRPr="00302564" w:rsidRDefault="003B797C" w:rsidP="003B797C">
                  <w:pPr>
                    <w:ind w:firstLine="0"/>
                    <w:rPr>
                      <w:lang w:val="ro-RO" w:eastAsia="ro-RO"/>
                    </w:rPr>
                  </w:pPr>
                  <w:r w:rsidRPr="00302564">
                    <w:rPr>
                      <w:lang w:val="ro-RO" w:eastAsia="ro-RO"/>
                    </w:rPr>
                    <w:t>instituțiile bugetare finanțate din bugetul de stat sau din bugetele locale</w:t>
                  </w:r>
                </w:p>
              </w:tc>
              <w:tc>
                <w:tcPr>
                  <w:tcW w:w="2528" w:type="pct"/>
                  <w:vMerge w:val="restart"/>
                  <w:vAlign w:val="center"/>
                </w:tcPr>
                <w:p w14:paraId="57AD74A1" w14:textId="77777777" w:rsidR="003B797C" w:rsidRPr="00302564" w:rsidRDefault="003B797C" w:rsidP="003B797C">
                  <w:pPr>
                    <w:ind w:firstLine="0"/>
                    <w:rPr>
                      <w:lang w:val="ro-RO" w:eastAsia="ro-RO"/>
                    </w:rPr>
                  </w:pPr>
                  <w:r w:rsidRPr="00302564">
                    <w:rPr>
                      <w:lang w:val="ro-RO" w:eastAsia="ro-RO"/>
                    </w:rPr>
                    <w:t>Se determină individual pentru fiecare consumator final de energie electrică conform formulei:</w:t>
                  </w:r>
                </w:p>
                <w:p w14:paraId="3460297E" w14:textId="77777777" w:rsidR="003B797C" w:rsidRPr="00302564" w:rsidRDefault="003B797C" w:rsidP="003B797C">
                  <w:pPr>
                    <w:ind w:firstLine="0"/>
                    <w:jc w:val="center"/>
                    <w:rPr>
                      <w:lang w:val="ro-RO" w:eastAsia="ro-RO"/>
                    </w:rPr>
                  </w:pPr>
                  <m:oMath>
                    <m:r>
                      <w:rPr>
                        <w:rFonts w:ascii="Cambria Math" w:hAnsi="Cambria Math"/>
                        <w:lang w:val="ro-RO" w:eastAsia="ro-RO"/>
                      </w:rPr>
                      <m:t>PC=</m:t>
                    </m:r>
                    <m:f>
                      <m:fPr>
                        <m:ctrlPr>
                          <w:rPr>
                            <w:rFonts w:ascii="Cambria Math" w:hAnsi="Cambria Math"/>
                            <w:i/>
                            <w:lang w:val="ro-RO" w:eastAsia="ro-RO"/>
                          </w:rPr>
                        </m:ctrlPr>
                      </m:fPr>
                      <m:num>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num>
                      <m:den>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den>
                    </m:f>
                  </m:oMath>
                  <w:r w:rsidRPr="00302564">
                    <w:rPr>
                      <w:lang w:val="ro-RO" w:eastAsia="ro-RO"/>
                    </w:rPr>
                    <w:t xml:space="preserve"> ,</w:t>
                  </w:r>
                </w:p>
                <w:p w14:paraId="68249AEA" w14:textId="77777777" w:rsidR="003B797C" w:rsidRPr="00302564" w:rsidRDefault="003B797C" w:rsidP="003B797C">
                  <w:pPr>
                    <w:ind w:firstLine="0"/>
                    <w:rPr>
                      <w:lang w:val="ro-RO" w:eastAsia="ro-RO"/>
                    </w:rPr>
                  </w:pPr>
                  <w:r w:rsidRPr="00302564">
                    <w:rPr>
                      <w:lang w:val="ro-RO" w:eastAsia="ro-RO"/>
                    </w:rPr>
                    <w:t>unde:</w:t>
                  </w:r>
                </w:p>
                <w:p w14:paraId="5F580289" w14:textId="77777777" w:rsidR="003B797C" w:rsidRPr="00302564" w:rsidRDefault="003B797C" w:rsidP="003B797C">
                  <w:pPr>
                    <w:ind w:firstLine="0"/>
                    <w:rPr>
                      <w:lang w:val="ro-RO" w:eastAsia="ro-RO"/>
                    </w:rPr>
                  </w:pPr>
                  <m:oMath>
                    <m:r>
                      <w:rPr>
                        <w:rFonts w:ascii="Cambria Math" w:hAnsi="Cambria Math"/>
                        <w:lang w:val="ro-RO" w:eastAsia="ro-RO"/>
                      </w:rPr>
                      <m:t>PC</m:t>
                    </m:r>
                  </m:oMath>
                  <w:r w:rsidRPr="00302564">
                    <w:rPr>
                      <w:lang w:val="ro-RO" w:eastAsia="ro-RO"/>
                    </w:rPr>
                    <w:t xml:space="preserve"> este plafonul de capacitate individual</w:t>
                  </w:r>
                  <w:r>
                    <w:rPr>
                      <w:lang w:val="ro-RO" w:eastAsia="ro-RO"/>
                    </w:rPr>
                    <w:t>ă</w:t>
                  </w:r>
                  <w:r w:rsidRPr="00302564">
                    <w:rPr>
                      <w:lang w:val="ro-RO" w:eastAsia="ro-RO"/>
                    </w:rPr>
                    <w:t xml:space="preserve"> calculat pentru consumatorul respectiv;</w:t>
                  </w:r>
                </w:p>
                <w:p w14:paraId="4E662174" w14:textId="77777777" w:rsidR="003B797C" w:rsidRPr="00302564" w:rsidRDefault="00000000" w:rsidP="003B797C">
                  <w:pPr>
                    <w:ind w:firstLine="0"/>
                    <w:rPr>
                      <w:lang w:val="ro-RO" w:eastAsia="ro-RO"/>
                    </w:rPr>
                  </w:pPr>
                  <m:oMath>
                    <m:sSub>
                      <m:sSubPr>
                        <m:ctrlPr>
                          <w:rPr>
                            <w:rFonts w:ascii="Cambria Math" w:hAnsi="Cambria Math"/>
                            <w:i/>
                            <w:lang w:val="ro-RO" w:eastAsia="ro-RO"/>
                          </w:rPr>
                        </m:ctrlPr>
                      </m:sSubPr>
                      <m:e>
                        <m:r>
                          <w:rPr>
                            <w:rFonts w:ascii="Cambria Math" w:hAnsi="Cambria Math"/>
                            <w:lang w:val="ro-RO" w:eastAsia="ro-RO"/>
                          </w:rPr>
                          <m:t>CMA</m:t>
                        </m:r>
                      </m:e>
                      <m:sub>
                        <m:r>
                          <w:rPr>
                            <w:rFonts w:ascii="Cambria Math" w:hAnsi="Cambria Math"/>
                            <w:lang w:val="ro-RO" w:eastAsia="ro-RO"/>
                          </w:rPr>
                          <m:t>max3</m:t>
                        </m:r>
                      </m:sub>
                    </m:sSub>
                  </m:oMath>
                  <w:r w:rsidR="003B797C" w:rsidRPr="00302564">
                    <w:rPr>
                      <w:lang w:val="ro-RO" w:eastAsia="ro-RO"/>
                    </w:rPr>
                    <w:t xml:space="preserve"> – cea mai mare valoare dintre:</w:t>
                  </w:r>
                </w:p>
                <w:p w14:paraId="3F1E3742" w14:textId="77777777" w:rsidR="003B797C" w:rsidRPr="00302564" w:rsidRDefault="003B797C" w:rsidP="003B797C">
                  <w:pPr>
                    <w:ind w:firstLine="0"/>
                    <w:rPr>
                      <w:lang w:val="ro-RO" w:eastAsia="ro-RO"/>
                    </w:rPr>
                  </w:pPr>
                  <w:r w:rsidRPr="00302564">
                    <w:rPr>
                      <w:lang w:val="ro-RO" w:eastAsia="ro-RO"/>
                    </w:rPr>
                    <w:t xml:space="preserve">- valoarea maximă a consumului anual din ultimii 3 ani calendaristici a consumatorului final de energie electrică, și </w:t>
                  </w:r>
                </w:p>
                <w:p w14:paraId="053AA9D5" w14:textId="77777777" w:rsidR="003B797C" w:rsidRPr="00302564" w:rsidRDefault="003B797C" w:rsidP="003B797C">
                  <w:pPr>
                    <w:ind w:firstLine="0"/>
                    <w:rPr>
                      <w:lang w:val="ro-RO" w:eastAsia="ro-RO"/>
                    </w:rPr>
                  </w:pPr>
                  <w:r w:rsidRPr="00302564">
                    <w:rPr>
                      <w:lang w:val="ro-RO" w:eastAsia="ro-RO"/>
                    </w:rPr>
                    <w:t xml:space="preserve">- produsul dintre puterea contractată a locului de consum și consumul mediu anual pentru </w:t>
                  </w:r>
                  <w:r w:rsidRPr="00302564">
                    <w:rPr>
                      <w:lang w:val="ro-RO"/>
                    </w:rPr>
                    <w:t>1 kW</w:t>
                  </w:r>
                  <w:r w:rsidRPr="00302564">
                    <w:rPr>
                      <w:lang w:val="ro-RO" w:eastAsia="ro-RO"/>
                    </w:rPr>
                    <w:t xml:space="preserve"> al consumatorilor din categoria din care face parte consumatorul final de energie electrică pentru care se calculează plafonul de capacitate individuală, determinat pentru zona de activitate a operatorului sistemului de distribuție la care este/urmează a fi </w:t>
                  </w:r>
                  <w:r w:rsidRPr="00302564">
                    <w:rPr>
                      <w:lang w:val="ro-RO" w:eastAsia="ro-RO"/>
                    </w:rPr>
                    <w:lastRenderedPageBreak/>
                    <w:t>conectat consumatorul final de energie electrică respectiv;</w:t>
                  </w:r>
                </w:p>
                <w:p w14:paraId="36921577" w14:textId="6BBDDC02" w:rsidR="003B797C" w:rsidRPr="00302564" w:rsidRDefault="00000000" w:rsidP="003B797C">
                  <w:pPr>
                    <w:ind w:firstLine="0"/>
                    <w:jc w:val="left"/>
                    <w:rPr>
                      <w:lang w:val="ro-RO" w:eastAsia="ro-RO"/>
                    </w:rPr>
                  </w:pPr>
                  <m:oMath>
                    <m:sSub>
                      <m:sSubPr>
                        <m:ctrlPr>
                          <w:rPr>
                            <w:rFonts w:ascii="Cambria Math" w:hAnsi="Cambria Math"/>
                            <w:i/>
                            <w:lang w:val="ro-RO" w:eastAsia="ro-RO"/>
                          </w:rPr>
                        </m:ctrlPr>
                      </m:sSubPr>
                      <m:e>
                        <m:r>
                          <w:rPr>
                            <w:rFonts w:ascii="Cambria Math" w:hAnsi="Cambria Math"/>
                            <w:lang w:val="ro-RO" w:eastAsia="ro-RO"/>
                          </w:rPr>
                          <m:t>GA</m:t>
                        </m:r>
                      </m:e>
                      <m:sub>
                        <m:r>
                          <w:rPr>
                            <w:rFonts w:ascii="Cambria Math" w:hAnsi="Cambria Math"/>
                            <w:lang w:val="ro-RO" w:eastAsia="ro-RO"/>
                          </w:rPr>
                          <m:t>pv</m:t>
                        </m:r>
                      </m:sub>
                    </m:sSub>
                  </m:oMath>
                  <w:r w:rsidR="003B797C" w:rsidRPr="00302564">
                    <w:rPr>
                      <w:lang w:val="ro-RO" w:eastAsia="ro-RO"/>
                    </w:rPr>
                    <w:t xml:space="preserve"> – </w:t>
                  </w:r>
                  <w:r w:rsidR="00366327" w:rsidRPr="00302564">
                    <w:rPr>
                      <w:lang w:val="ro-RO" w:eastAsia="ro-RO"/>
                    </w:rPr>
                    <w:t xml:space="preserve">coeficient ce exprimă energia electrică generată pe parcursul unui an calendaristic de o </w:t>
                  </w:r>
                  <w:r w:rsidR="00366327">
                    <w:rPr>
                      <w:lang w:val="ro-RO" w:eastAsia="ro-RO"/>
                    </w:rPr>
                    <w:t>centrală electrică</w:t>
                  </w:r>
                  <w:r w:rsidR="00366327" w:rsidRPr="009E79D3">
                    <w:rPr>
                      <w:lang w:val="ro-RO" w:eastAsia="ro-RO"/>
                    </w:rPr>
                    <w:t xml:space="preserve"> pentru producerea de energie electrică din </w:t>
                  </w:r>
                  <w:r w:rsidR="00366327">
                    <w:rPr>
                      <w:lang w:val="ro-RO" w:eastAsia="ro-RO"/>
                    </w:rPr>
                    <w:t xml:space="preserve">surse regenerabile de energie </w:t>
                  </w:r>
                  <w:r w:rsidR="00366327" w:rsidRPr="00302564">
                    <w:rPr>
                      <w:lang w:val="ro-RO" w:eastAsia="ro-RO"/>
                    </w:rPr>
                    <w:t>cu puterea instalată de 1 kW, care</w:t>
                  </w:r>
                  <w:r w:rsidR="00366327">
                    <w:rPr>
                      <w:lang w:val="ro-RO" w:eastAsia="ro-RO"/>
                    </w:rPr>
                    <w:t xml:space="preserve"> pentru: o instalație PV</w:t>
                  </w:r>
                  <w:r w:rsidR="00366327" w:rsidRPr="00302564">
                    <w:rPr>
                      <w:lang w:val="ro-RO" w:eastAsia="ro-RO"/>
                    </w:rPr>
                    <w:t xml:space="preserve"> este egală cu </w:t>
                  </w:r>
                  <w:r w:rsidR="00366327" w:rsidRPr="00302564">
                    <w:rPr>
                      <w:lang w:val="ro-RO"/>
                    </w:rPr>
                    <w:t>1200 kWh/kW</w:t>
                  </w:r>
                  <w:r w:rsidR="00366327">
                    <w:rPr>
                      <w:lang w:val="ro-RO"/>
                    </w:rPr>
                    <w:t>, pentru o instalație eoliană este egală cu 1600 kWh/kW iar pentru o instalație de biogaz este egală cu 6100 kWh/kW</w:t>
                  </w:r>
                </w:p>
              </w:tc>
            </w:tr>
            <w:tr w:rsidR="003B797C" w:rsidRPr="00302564" w14:paraId="4D17C5EA" w14:textId="77777777" w:rsidTr="004D64BB">
              <w:trPr>
                <w:trHeight w:val="1226"/>
              </w:trPr>
              <w:tc>
                <w:tcPr>
                  <w:tcW w:w="779" w:type="pct"/>
                  <w:vMerge/>
                </w:tcPr>
                <w:p w14:paraId="5D5A7721" w14:textId="77777777" w:rsidR="003B797C" w:rsidRPr="00302564" w:rsidRDefault="003B797C" w:rsidP="003B797C">
                  <w:pPr>
                    <w:ind w:firstLine="0"/>
                    <w:rPr>
                      <w:lang w:val="ro-RO" w:eastAsia="ro-RO"/>
                    </w:rPr>
                  </w:pPr>
                </w:p>
              </w:tc>
              <w:tc>
                <w:tcPr>
                  <w:tcW w:w="1693" w:type="pct"/>
                  <w:vAlign w:val="center"/>
                </w:tcPr>
                <w:p w14:paraId="72990686" w14:textId="1BDC6D13" w:rsidR="003B797C" w:rsidRPr="00302564" w:rsidRDefault="003B797C" w:rsidP="003B797C">
                  <w:pPr>
                    <w:ind w:firstLine="0"/>
                    <w:rPr>
                      <w:lang w:val="ro-RO" w:eastAsia="ro-RO"/>
                    </w:rPr>
                  </w:pPr>
                  <w:r w:rsidRPr="00302564">
                    <w:rPr>
                      <w:lang w:val="ro-RO" w:eastAsia="ro-RO"/>
                    </w:rPr>
                    <w:t>pentru instalațiile PV</w:t>
                  </w:r>
                  <w:r w:rsidR="001B5897">
                    <w:rPr>
                      <w:lang w:val="ro-RO" w:eastAsia="ro-RO"/>
                    </w:rPr>
                    <w:t xml:space="preserve">, </w:t>
                  </w:r>
                  <w:r w:rsidR="00DA3989">
                    <w:rPr>
                      <w:lang w:val="ro-MD" w:eastAsia="ro-RO"/>
                    </w:rPr>
                    <w:t>pentru instalațiile eoliene</w:t>
                  </w:r>
                  <w:r w:rsidRPr="00302564">
                    <w:rPr>
                      <w:lang w:val="ro-RO" w:eastAsia="ro-RO"/>
                    </w:rPr>
                    <w:t xml:space="preserve"> </w:t>
                  </w:r>
                  <w:r w:rsidR="001B5897">
                    <w:rPr>
                      <w:lang w:val="ro-RO" w:eastAsia="ro-RO"/>
                    </w:rPr>
                    <w:t xml:space="preserve">și pentru instalațiile de biogaz </w:t>
                  </w:r>
                  <w:r w:rsidRPr="00302564">
                    <w:rPr>
                      <w:lang w:val="ro-RO" w:eastAsia="ro-RO"/>
                    </w:rPr>
                    <w:t xml:space="preserve">montate de către alți consumatori finali </w:t>
                  </w:r>
                </w:p>
              </w:tc>
              <w:tc>
                <w:tcPr>
                  <w:tcW w:w="2528" w:type="pct"/>
                  <w:vMerge/>
                  <w:vAlign w:val="center"/>
                </w:tcPr>
                <w:p w14:paraId="739C4534" w14:textId="77777777" w:rsidR="003B797C" w:rsidRPr="00302564" w:rsidRDefault="003B797C" w:rsidP="003B797C">
                  <w:pPr>
                    <w:ind w:firstLine="0"/>
                    <w:jc w:val="center"/>
                    <w:rPr>
                      <w:lang w:val="ro-RO" w:eastAsia="ro-RO"/>
                    </w:rPr>
                  </w:pPr>
                </w:p>
              </w:tc>
            </w:tr>
          </w:tbl>
          <w:p w14:paraId="727AF6BF" w14:textId="77777777" w:rsidR="0008020B" w:rsidRDefault="0008020B" w:rsidP="0008020B">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rPr>
            </w:pPr>
          </w:p>
          <w:p w14:paraId="6254984F" w14:textId="5DA07A2B" w:rsidR="00DF7A8C" w:rsidRPr="00DF7A8C" w:rsidRDefault="00DF7A8C" w:rsidP="00DF7A8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DF7A8C">
              <w:rPr>
                <w:rFonts w:ascii="Times New Roman" w:eastAsia="Times New Roman" w:hAnsi="Times New Roman"/>
                <w:sz w:val="24"/>
                <w:szCs w:val="24"/>
                <w:lang w:val="ro-RO"/>
              </w:rPr>
              <w:t>2.</w:t>
            </w:r>
            <w:r w:rsidRPr="00DF7A8C">
              <w:rPr>
                <w:rFonts w:ascii="Times New Roman" w:eastAsia="Times New Roman" w:hAnsi="Times New Roman"/>
                <w:sz w:val="24"/>
                <w:szCs w:val="24"/>
                <w:lang w:val="ro-RO"/>
              </w:rPr>
              <w:tab/>
            </w:r>
            <w:r w:rsidR="00877548" w:rsidRPr="00877548">
              <w:rPr>
                <w:rFonts w:ascii="Times New Roman" w:eastAsia="Times New Roman" w:hAnsi="Times New Roman"/>
                <w:sz w:val="24"/>
                <w:szCs w:val="24"/>
                <w:lang w:val="ro-RO"/>
              </w:rPr>
              <w:t>Consumatorii casnici care la data intrării în vigoare a prezentei hotărâri, au semnate contracte de facturare netă, pot solicita de la operatorul sistemului de distribuție și furnizorului de energie electrică modificarea plafonului individual de capacitate la valoarea plafonului de capacitate individuală stabilită în anexa nr. 2  din  Hotărârea Guvernului nr. 401/2021</w:t>
            </w:r>
            <w:r w:rsidRPr="00DF7A8C">
              <w:rPr>
                <w:rFonts w:ascii="Times New Roman" w:eastAsia="Times New Roman" w:hAnsi="Times New Roman"/>
                <w:sz w:val="24"/>
                <w:szCs w:val="24"/>
                <w:lang w:val="ro-RO"/>
              </w:rPr>
              <w:t>.</w:t>
            </w:r>
          </w:p>
          <w:p w14:paraId="62640708" w14:textId="6BE830DE" w:rsidR="00DF7A8C" w:rsidRPr="00DF7A8C" w:rsidRDefault="00DF7A8C" w:rsidP="00DF7A8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DF7A8C">
              <w:rPr>
                <w:rFonts w:ascii="Times New Roman" w:eastAsia="Times New Roman" w:hAnsi="Times New Roman"/>
                <w:sz w:val="24"/>
                <w:szCs w:val="24"/>
                <w:lang w:val="ro-RO"/>
              </w:rPr>
              <w:t>3.</w:t>
            </w:r>
            <w:r w:rsidRPr="00DF7A8C">
              <w:rPr>
                <w:rFonts w:ascii="Times New Roman" w:eastAsia="Times New Roman" w:hAnsi="Times New Roman"/>
                <w:sz w:val="24"/>
                <w:szCs w:val="24"/>
                <w:lang w:val="ro-RO"/>
              </w:rPr>
              <w:tab/>
            </w:r>
            <w:r w:rsidR="00877548" w:rsidRPr="00877548">
              <w:rPr>
                <w:rFonts w:ascii="Times New Roman" w:eastAsia="Times New Roman" w:hAnsi="Times New Roman"/>
                <w:sz w:val="24"/>
                <w:szCs w:val="24"/>
                <w:lang w:val="ro-RO"/>
              </w:rPr>
              <w:t>Pentru consumatorii casnici cu multiple locuri de consum, care dețin o centrală electrică localizată în afara locului/locurilor de consum și respectă prevederile art. 39</w:t>
            </w:r>
            <w:r w:rsidR="00877548" w:rsidRPr="00877548">
              <w:rPr>
                <w:rFonts w:ascii="Times New Roman" w:eastAsia="Times New Roman" w:hAnsi="Times New Roman"/>
                <w:sz w:val="24"/>
                <w:szCs w:val="24"/>
                <w:vertAlign w:val="superscript"/>
                <w:lang w:val="ro-RO"/>
              </w:rPr>
              <w:t>1</w:t>
            </w:r>
            <w:r w:rsidR="00877548" w:rsidRPr="00877548">
              <w:rPr>
                <w:rFonts w:ascii="Times New Roman" w:eastAsia="Times New Roman" w:hAnsi="Times New Roman"/>
                <w:sz w:val="24"/>
                <w:szCs w:val="24"/>
                <w:lang w:val="ro-RO"/>
              </w:rPr>
              <w:t xml:space="preserve"> alin. (5) și art. 39</w:t>
            </w:r>
            <w:r w:rsidR="00877548" w:rsidRPr="00877548">
              <w:rPr>
                <w:rFonts w:ascii="Times New Roman" w:eastAsia="Times New Roman" w:hAnsi="Times New Roman"/>
                <w:sz w:val="24"/>
                <w:szCs w:val="24"/>
                <w:vertAlign w:val="superscript"/>
                <w:lang w:val="ro-RO"/>
              </w:rPr>
              <w:t>2</w:t>
            </w:r>
            <w:r w:rsidR="00877548" w:rsidRPr="00877548">
              <w:rPr>
                <w:rFonts w:ascii="Times New Roman" w:eastAsia="Times New Roman" w:hAnsi="Times New Roman"/>
                <w:sz w:val="24"/>
                <w:szCs w:val="24"/>
                <w:lang w:val="ro-RO"/>
              </w:rPr>
              <w:t xml:space="preserve"> din Legea nr. 10/2016 privind promovarea utilizării energiei din surse regenerabile, pot semna contracte de facturare netă cu furnizorul de energie electrică la valoarea plafonului de capacitate individuală stabilită în anexa nr. 2 din Hotărârea Guvernului nr. 401/2021 sau conform plafonului de capacitate individuală determinat conform formulei privind consumul maxim anual din ultimii 3 ani la locurile de consum raportat la coeficientul ce exprimă energia electrică generată pe parcursul unui an calendaristic de o centrală electrică pentru producerea de energie electrică din surse </w:t>
            </w:r>
            <w:r w:rsidR="00877548" w:rsidRPr="00877548">
              <w:rPr>
                <w:rFonts w:ascii="Times New Roman" w:eastAsia="Times New Roman" w:hAnsi="Times New Roman"/>
                <w:sz w:val="24"/>
                <w:szCs w:val="24"/>
                <w:lang w:val="ro-RO"/>
              </w:rPr>
              <w:lastRenderedPageBreak/>
              <w:t>regenerabile de energie cu puterea instalată de 1 kW, dar nu mai mult de 200 kW"</w:t>
            </w:r>
            <w:r w:rsidRPr="00DF7A8C">
              <w:rPr>
                <w:rFonts w:ascii="Times New Roman" w:eastAsia="Times New Roman" w:hAnsi="Times New Roman"/>
                <w:sz w:val="24"/>
                <w:szCs w:val="24"/>
                <w:lang w:val="ro-RO"/>
              </w:rPr>
              <w:t>.</w:t>
            </w:r>
          </w:p>
          <w:p w14:paraId="6CCA5AF5" w14:textId="6F551FE0" w:rsidR="003B797C" w:rsidRDefault="00DF7A8C" w:rsidP="00DF7A8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sidRPr="00DF7A8C">
              <w:rPr>
                <w:rFonts w:ascii="Times New Roman" w:eastAsia="Times New Roman" w:hAnsi="Times New Roman"/>
                <w:sz w:val="24"/>
                <w:szCs w:val="24"/>
                <w:lang w:val="ro-RO"/>
              </w:rPr>
              <w:t>4.</w:t>
            </w:r>
            <w:r w:rsidRPr="00DF7A8C">
              <w:rPr>
                <w:rFonts w:ascii="Times New Roman" w:eastAsia="Times New Roman" w:hAnsi="Times New Roman"/>
                <w:sz w:val="24"/>
                <w:szCs w:val="24"/>
                <w:lang w:val="ro-RO"/>
              </w:rPr>
              <w:tab/>
            </w:r>
            <w:r w:rsidR="00877548" w:rsidRPr="00877548">
              <w:rPr>
                <w:rFonts w:ascii="Times New Roman" w:eastAsia="Times New Roman" w:hAnsi="Times New Roman"/>
                <w:sz w:val="24"/>
                <w:szCs w:val="24"/>
                <w:lang w:val="ro-RO"/>
              </w:rPr>
              <w:t>Pentru consumatorii non casnici cu multiple locuri de consum, care dețin o centrală electrică localizată în afara locului/locurilor de consum și respectă prevederile alin . (5) al art. 39</w:t>
            </w:r>
            <w:r w:rsidR="00877548" w:rsidRPr="00877548">
              <w:rPr>
                <w:rFonts w:ascii="Times New Roman" w:eastAsia="Times New Roman" w:hAnsi="Times New Roman"/>
                <w:sz w:val="24"/>
                <w:szCs w:val="24"/>
                <w:vertAlign w:val="superscript"/>
                <w:lang w:val="ro-RO"/>
              </w:rPr>
              <w:t>1</w:t>
            </w:r>
            <w:r w:rsidR="00877548" w:rsidRPr="00877548">
              <w:rPr>
                <w:rFonts w:ascii="Times New Roman" w:eastAsia="Times New Roman" w:hAnsi="Times New Roman"/>
                <w:sz w:val="24"/>
                <w:szCs w:val="24"/>
                <w:lang w:val="ro-RO"/>
              </w:rPr>
              <w:t xml:space="preserve"> și ale art. 39</w:t>
            </w:r>
            <w:r w:rsidR="00877548" w:rsidRPr="00877548">
              <w:rPr>
                <w:rFonts w:ascii="Times New Roman" w:eastAsia="Times New Roman" w:hAnsi="Times New Roman"/>
                <w:sz w:val="24"/>
                <w:szCs w:val="24"/>
                <w:vertAlign w:val="superscript"/>
                <w:lang w:val="ro-RO"/>
              </w:rPr>
              <w:t>2</w:t>
            </w:r>
            <w:r w:rsidR="00877548" w:rsidRPr="00877548">
              <w:rPr>
                <w:rFonts w:ascii="Times New Roman" w:eastAsia="Times New Roman" w:hAnsi="Times New Roman"/>
                <w:sz w:val="24"/>
                <w:szCs w:val="24"/>
                <w:lang w:val="ro-RO"/>
              </w:rPr>
              <w:t xml:space="preserve"> din Legea nr. 10/2016 privind promovarea utilizării energiei din surse regenerabile, plafonul de capacitate individual se va calcula ca suma plafoanelor de capacitate individuală, stabilite pentru fiecare loc de consum în conformitate cu anexa nr. 2 din Hotărârea Guvernului nr. 401/2021, cu condiția că capacitatea sumară să nu depășească 200 kW</w:t>
            </w:r>
            <w:r w:rsidRPr="00DF7A8C">
              <w:rPr>
                <w:rFonts w:ascii="Times New Roman" w:eastAsia="Times New Roman" w:hAnsi="Times New Roman"/>
                <w:sz w:val="24"/>
                <w:szCs w:val="24"/>
                <w:lang w:val="ro-RO"/>
              </w:rPr>
              <w:t>.</w:t>
            </w:r>
          </w:p>
          <w:p w14:paraId="340D78A4" w14:textId="1715F38F" w:rsidR="00877548" w:rsidRPr="00DF7A8C" w:rsidRDefault="00877548" w:rsidP="00DF7A8C">
            <w:pPr>
              <w:pBdr>
                <w:top w:val="none" w:sz="4" w:space="0" w:color="000000"/>
                <w:left w:val="none" w:sz="4" w:space="0" w:color="000000"/>
                <w:bottom w:val="none" w:sz="4" w:space="0" w:color="000000"/>
                <w:right w:val="none" w:sz="4" w:space="0" w:color="000000"/>
              </w:pBdr>
              <w:ind w:firstLine="0"/>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5.    </w:t>
            </w:r>
            <w:r w:rsidRPr="00877548">
              <w:rPr>
                <w:rFonts w:ascii="Times New Roman" w:eastAsia="Times New Roman" w:hAnsi="Times New Roman"/>
                <w:sz w:val="24"/>
                <w:szCs w:val="24"/>
                <w:lang w:val="ro-RO"/>
              </w:rPr>
              <w:t>Prezenta hotărâre intră în vigoare la data publicării în Monitorul Oficial al Republicii Moldova.</w:t>
            </w:r>
          </w:p>
        </w:tc>
      </w:tr>
      <w:tr w:rsidR="00877548" w:rsidRPr="00177035" w14:paraId="5E529DD1" w14:textId="77777777" w:rsidTr="00B57F24">
        <w:tc>
          <w:tcPr>
            <w:tcW w:w="55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949B7C7" w14:textId="77777777" w:rsidR="00877548" w:rsidRPr="00877548" w:rsidRDefault="00877548" w:rsidP="003B797C">
            <w:pPr>
              <w:pBdr>
                <w:top w:val="none" w:sz="4" w:space="0" w:color="000000"/>
                <w:left w:val="none" w:sz="4" w:space="0" w:color="000000"/>
                <w:bottom w:val="none" w:sz="4" w:space="0" w:color="000000"/>
                <w:right w:val="none" w:sz="4" w:space="0" w:color="000000"/>
              </w:pBdr>
              <w:ind w:firstLine="0"/>
              <w:rPr>
                <w:sz w:val="24"/>
                <w:szCs w:val="24"/>
              </w:rPr>
            </w:pPr>
          </w:p>
        </w:tc>
        <w:tc>
          <w:tcPr>
            <w:tcW w:w="4875"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7C1C2209" w14:textId="77777777" w:rsidR="00877548" w:rsidRPr="00302564" w:rsidRDefault="00877548" w:rsidP="003B797C">
            <w:pPr>
              <w:ind w:firstLine="0"/>
              <w:jc w:val="center"/>
              <w:rPr>
                <w:b/>
                <w:bCs/>
                <w:lang w:val="ro-RO" w:eastAsia="ro-RO"/>
              </w:rPr>
            </w:pPr>
          </w:p>
        </w:tc>
      </w:tr>
    </w:tbl>
    <w:p w14:paraId="6024583A" w14:textId="7D4CB6AA" w:rsidR="008B4BE6" w:rsidRDefault="008B4BE6" w:rsidP="00AC1A1D">
      <w:pPr>
        <w:ind w:firstLine="0"/>
        <w:rPr>
          <w:sz w:val="24"/>
          <w:szCs w:val="24"/>
        </w:rPr>
      </w:pPr>
    </w:p>
    <w:sectPr w:rsidR="008B4BE6" w:rsidSect="00C83148">
      <w:headerReference w:type="first" r:id="rId11"/>
      <w:pgSz w:w="11907" w:h="16840"/>
      <w:pgMar w:top="1418" w:right="567"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98748" w14:textId="77777777" w:rsidR="0090511D" w:rsidRDefault="0090511D">
      <w:r>
        <w:separator/>
      </w:r>
    </w:p>
  </w:endnote>
  <w:endnote w:type="continuationSeparator" w:id="0">
    <w:p w14:paraId="29D884CE" w14:textId="77777777" w:rsidR="0090511D" w:rsidRDefault="00905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9D1B7" w14:textId="77777777" w:rsidR="0090511D" w:rsidRDefault="0090511D">
      <w:r>
        <w:separator/>
      </w:r>
    </w:p>
  </w:footnote>
  <w:footnote w:type="continuationSeparator" w:id="0">
    <w:p w14:paraId="0C826438" w14:textId="77777777" w:rsidR="0090511D" w:rsidRDefault="00905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32DF"/>
    <w:multiLevelType w:val="hybridMultilevel"/>
    <w:tmpl w:val="B3F2C43A"/>
    <w:lvl w:ilvl="0" w:tplc="6C9299D2">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941188011">
    <w:abstractNumId w:val="33"/>
  </w:num>
  <w:num w:numId="2" w16cid:durableId="587739740">
    <w:abstractNumId w:val="35"/>
  </w:num>
  <w:num w:numId="3" w16cid:durableId="1295058372">
    <w:abstractNumId w:val="15"/>
  </w:num>
  <w:num w:numId="4" w16cid:durableId="1589391119">
    <w:abstractNumId w:val="28"/>
  </w:num>
  <w:num w:numId="5" w16cid:durableId="813643821">
    <w:abstractNumId w:val="17"/>
  </w:num>
  <w:num w:numId="6" w16cid:durableId="724185697">
    <w:abstractNumId w:val="12"/>
  </w:num>
  <w:num w:numId="7" w16cid:durableId="391120410">
    <w:abstractNumId w:val="6"/>
  </w:num>
  <w:num w:numId="8" w16cid:durableId="1353650711">
    <w:abstractNumId w:val="7"/>
  </w:num>
  <w:num w:numId="9" w16cid:durableId="529756386">
    <w:abstractNumId w:val="25"/>
  </w:num>
  <w:num w:numId="10" w16cid:durableId="1817068414">
    <w:abstractNumId w:val="4"/>
  </w:num>
  <w:num w:numId="11" w16cid:durableId="929969679">
    <w:abstractNumId w:val="24"/>
  </w:num>
  <w:num w:numId="12" w16cid:durableId="463743524">
    <w:abstractNumId w:val="3"/>
  </w:num>
  <w:num w:numId="13" w16cid:durableId="1509369432">
    <w:abstractNumId w:val="37"/>
  </w:num>
  <w:num w:numId="14" w16cid:durableId="144976479">
    <w:abstractNumId w:val="18"/>
  </w:num>
  <w:num w:numId="15" w16cid:durableId="863251399">
    <w:abstractNumId w:val="19"/>
  </w:num>
  <w:num w:numId="16" w16cid:durableId="1336415565">
    <w:abstractNumId w:val="32"/>
  </w:num>
  <w:num w:numId="17" w16cid:durableId="2039770970">
    <w:abstractNumId w:val="29"/>
  </w:num>
  <w:num w:numId="18" w16cid:durableId="1053385257">
    <w:abstractNumId w:val="23"/>
  </w:num>
  <w:num w:numId="19" w16cid:durableId="292299398">
    <w:abstractNumId w:val="20"/>
  </w:num>
  <w:num w:numId="20" w16cid:durableId="2106922115">
    <w:abstractNumId w:val="9"/>
  </w:num>
  <w:num w:numId="21" w16cid:durableId="623384998">
    <w:abstractNumId w:val="31"/>
  </w:num>
  <w:num w:numId="22" w16cid:durableId="1476755032">
    <w:abstractNumId w:val="5"/>
  </w:num>
  <w:num w:numId="23" w16cid:durableId="1389647913">
    <w:abstractNumId w:val="14"/>
  </w:num>
  <w:num w:numId="24" w16cid:durableId="2089496045">
    <w:abstractNumId w:val="11"/>
  </w:num>
  <w:num w:numId="25" w16cid:durableId="1339577544">
    <w:abstractNumId w:val="21"/>
  </w:num>
  <w:num w:numId="26" w16cid:durableId="481776770">
    <w:abstractNumId w:val="34"/>
  </w:num>
  <w:num w:numId="27" w16cid:durableId="59987386">
    <w:abstractNumId w:val="26"/>
  </w:num>
  <w:num w:numId="28" w16cid:durableId="1160584080">
    <w:abstractNumId w:val="39"/>
    <w:lvlOverride w:ilvl="0">
      <w:startOverride w:val="1"/>
    </w:lvlOverride>
  </w:num>
  <w:num w:numId="29" w16cid:durableId="233321069">
    <w:abstractNumId w:val="22"/>
  </w:num>
  <w:num w:numId="30" w16cid:durableId="1228221163">
    <w:abstractNumId w:val="8"/>
  </w:num>
  <w:num w:numId="31" w16cid:durableId="1201281458">
    <w:abstractNumId w:val="38"/>
  </w:num>
  <w:num w:numId="32" w16cid:durableId="517045413">
    <w:abstractNumId w:val="39"/>
  </w:num>
  <w:num w:numId="33" w16cid:durableId="142164304">
    <w:abstractNumId w:val="13"/>
  </w:num>
  <w:num w:numId="34" w16cid:durableId="1121845272">
    <w:abstractNumId w:val="41"/>
  </w:num>
  <w:num w:numId="35" w16cid:durableId="1159076889">
    <w:abstractNumId w:val="40"/>
  </w:num>
  <w:num w:numId="36" w16cid:durableId="41516025">
    <w:abstractNumId w:val="1"/>
  </w:num>
  <w:num w:numId="37" w16cid:durableId="2027753770">
    <w:abstractNumId w:val="10"/>
  </w:num>
  <w:num w:numId="38" w16cid:durableId="2090420006">
    <w:abstractNumId w:val="30"/>
  </w:num>
  <w:num w:numId="39" w16cid:durableId="1843232521">
    <w:abstractNumId w:val="16"/>
  </w:num>
  <w:num w:numId="40" w16cid:durableId="342779046">
    <w:abstractNumId w:val="36"/>
  </w:num>
  <w:num w:numId="41" w16cid:durableId="979921015">
    <w:abstractNumId w:val="27"/>
  </w:num>
  <w:num w:numId="42" w16cid:durableId="1571965743">
    <w:abstractNumId w:val="2"/>
  </w:num>
  <w:num w:numId="43" w16cid:durableId="1367415144">
    <w:abstractNumId w:val="42"/>
  </w:num>
  <w:num w:numId="44" w16cid:durableId="54349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32B46"/>
    <w:rsid w:val="0004289C"/>
    <w:rsid w:val="00043AC7"/>
    <w:rsid w:val="00044D19"/>
    <w:rsid w:val="00052045"/>
    <w:rsid w:val="00054810"/>
    <w:rsid w:val="00061250"/>
    <w:rsid w:val="000713DA"/>
    <w:rsid w:val="00071EAA"/>
    <w:rsid w:val="0007236F"/>
    <w:rsid w:val="00075A5F"/>
    <w:rsid w:val="0008020B"/>
    <w:rsid w:val="00081267"/>
    <w:rsid w:val="00085029"/>
    <w:rsid w:val="000A6BA5"/>
    <w:rsid w:val="000B20F7"/>
    <w:rsid w:val="000B3D87"/>
    <w:rsid w:val="000B50EE"/>
    <w:rsid w:val="000C041B"/>
    <w:rsid w:val="000C2AB4"/>
    <w:rsid w:val="000D5C74"/>
    <w:rsid w:val="000E1D40"/>
    <w:rsid w:val="000E2800"/>
    <w:rsid w:val="000F497A"/>
    <w:rsid w:val="000F4BA4"/>
    <w:rsid w:val="00102AD8"/>
    <w:rsid w:val="00113956"/>
    <w:rsid w:val="00116035"/>
    <w:rsid w:val="001172F5"/>
    <w:rsid w:val="001211EA"/>
    <w:rsid w:val="00143389"/>
    <w:rsid w:val="00143CC4"/>
    <w:rsid w:val="0015146D"/>
    <w:rsid w:val="00157D40"/>
    <w:rsid w:val="00162BE7"/>
    <w:rsid w:val="0017006C"/>
    <w:rsid w:val="00174E20"/>
    <w:rsid w:val="00177035"/>
    <w:rsid w:val="00184334"/>
    <w:rsid w:val="00185AC8"/>
    <w:rsid w:val="00191428"/>
    <w:rsid w:val="001A25C3"/>
    <w:rsid w:val="001A37C7"/>
    <w:rsid w:val="001B3BE4"/>
    <w:rsid w:val="001B5818"/>
    <w:rsid w:val="001B5897"/>
    <w:rsid w:val="001B66A4"/>
    <w:rsid w:val="001B6E6E"/>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C6210"/>
    <w:rsid w:val="002D38C5"/>
    <w:rsid w:val="002E4217"/>
    <w:rsid w:val="002E505B"/>
    <w:rsid w:val="002F30F7"/>
    <w:rsid w:val="002F3DAA"/>
    <w:rsid w:val="002F5F1E"/>
    <w:rsid w:val="002F7FB5"/>
    <w:rsid w:val="00301D7D"/>
    <w:rsid w:val="0030205E"/>
    <w:rsid w:val="0031555D"/>
    <w:rsid w:val="00315655"/>
    <w:rsid w:val="00315B32"/>
    <w:rsid w:val="00315BDC"/>
    <w:rsid w:val="00324559"/>
    <w:rsid w:val="00325162"/>
    <w:rsid w:val="00327C88"/>
    <w:rsid w:val="00334C0F"/>
    <w:rsid w:val="003358FF"/>
    <w:rsid w:val="00347B79"/>
    <w:rsid w:val="003509A8"/>
    <w:rsid w:val="00354545"/>
    <w:rsid w:val="0036135C"/>
    <w:rsid w:val="00362D0C"/>
    <w:rsid w:val="0036518F"/>
    <w:rsid w:val="00366327"/>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7521"/>
    <w:rsid w:val="003B797C"/>
    <w:rsid w:val="003C0C4D"/>
    <w:rsid w:val="003C11CC"/>
    <w:rsid w:val="003C3DB4"/>
    <w:rsid w:val="003C3EB9"/>
    <w:rsid w:val="003D5E8B"/>
    <w:rsid w:val="003E3748"/>
    <w:rsid w:val="003E4DA7"/>
    <w:rsid w:val="003F0CD8"/>
    <w:rsid w:val="00405019"/>
    <w:rsid w:val="00406BA9"/>
    <w:rsid w:val="00410C9A"/>
    <w:rsid w:val="00421AB5"/>
    <w:rsid w:val="00424212"/>
    <w:rsid w:val="00424CF9"/>
    <w:rsid w:val="00425B25"/>
    <w:rsid w:val="0043208D"/>
    <w:rsid w:val="004333B4"/>
    <w:rsid w:val="00434203"/>
    <w:rsid w:val="00452C3E"/>
    <w:rsid w:val="00452C6C"/>
    <w:rsid w:val="0045451B"/>
    <w:rsid w:val="00464294"/>
    <w:rsid w:val="004735CE"/>
    <w:rsid w:val="00474658"/>
    <w:rsid w:val="0047797E"/>
    <w:rsid w:val="00497F06"/>
    <w:rsid w:val="004A3757"/>
    <w:rsid w:val="004B1283"/>
    <w:rsid w:val="004C6034"/>
    <w:rsid w:val="004D3941"/>
    <w:rsid w:val="004E2421"/>
    <w:rsid w:val="004E6489"/>
    <w:rsid w:val="004E6662"/>
    <w:rsid w:val="004F568A"/>
    <w:rsid w:val="005020EC"/>
    <w:rsid w:val="00516555"/>
    <w:rsid w:val="005256CF"/>
    <w:rsid w:val="00542C43"/>
    <w:rsid w:val="00551299"/>
    <w:rsid w:val="00555DF5"/>
    <w:rsid w:val="00572006"/>
    <w:rsid w:val="00573E74"/>
    <w:rsid w:val="0057790F"/>
    <w:rsid w:val="00582470"/>
    <w:rsid w:val="00594DE5"/>
    <w:rsid w:val="005A12D7"/>
    <w:rsid w:val="005A29D6"/>
    <w:rsid w:val="005B0C92"/>
    <w:rsid w:val="005B42AA"/>
    <w:rsid w:val="005B7E20"/>
    <w:rsid w:val="005C1D42"/>
    <w:rsid w:val="005C412B"/>
    <w:rsid w:val="005C4835"/>
    <w:rsid w:val="005C5A53"/>
    <w:rsid w:val="005C644B"/>
    <w:rsid w:val="005C6C63"/>
    <w:rsid w:val="005C7769"/>
    <w:rsid w:val="005D5F1D"/>
    <w:rsid w:val="005D649D"/>
    <w:rsid w:val="005E37E8"/>
    <w:rsid w:val="005E6E2A"/>
    <w:rsid w:val="005F0F53"/>
    <w:rsid w:val="005F584A"/>
    <w:rsid w:val="0060625D"/>
    <w:rsid w:val="0060760B"/>
    <w:rsid w:val="00611BAA"/>
    <w:rsid w:val="00612D18"/>
    <w:rsid w:val="00615BB7"/>
    <w:rsid w:val="00616A16"/>
    <w:rsid w:val="00621954"/>
    <w:rsid w:val="00623361"/>
    <w:rsid w:val="00624BA9"/>
    <w:rsid w:val="0062575C"/>
    <w:rsid w:val="00625C96"/>
    <w:rsid w:val="006339EB"/>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40C7"/>
    <w:rsid w:val="006D3EB7"/>
    <w:rsid w:val="006D7B49"/>
    <w:rsid w:val="006E0A2E"/>
    <w:rsid w:val="006E1269"/>
    <w:rsid w:val="006E7D38"/>
    <w:rsid w:val="006F0870"/>
    <w:rsid w:val="006F43CA"/>
    <w:rsid w:val="006F7EF4"/>
    <w:rsid w:val="007026DD"/>
    <w:rsid w:val="00702770"/>
    <w:rsid w:val="00703FCE"/>
    <w:rsid w:val="00707B68"/>
    <w:rsid w:val="007103FC"/>
    <w:rsid w:val="007126C4"/>
    <w:rsid w:val="007258CF"/>
    <w:rsid w:val="00737731"/>
    <w:rsid w:val="00740210"/>
    <w:rsid w:val="007411D5"/>
    <w:rsid w:val="00756648"/>
    <w:rsid w:val="007724CE"/>
    <w:rsid w:val="00780C21"/>
    <w:rsid w:val="0079167D"/>
    <w:rsid w:val="00796ABF"/>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1DF3"/>
    <w:rsid w:val="008326E7"/>
    <w:rsid w:val="0084241F"/>
    <w:rsid w:val="0084434E"/>
    <w:rsid w:val="008506B1"/>
    <w:rsid w:val="008510CC"/>
    <w:rsid w:val="00860C47"/>
    <w:rsid w:val="00863417"/>
    <w:rsid w:val="0086343C"/>
    <w:rsid w:val="00863D76"/>
    <w:rsid w:val="0086509B"/>
    <w:rsid w:val="0087296A"/>
    <w:rsid w:val="00876262"/>
    <w:rsid w:val="00877548"/>
    <w:rsid w:val="00891049"/>
    <w:rsid w:val="00897403"/>
    <w:rsid w:val="008A40C0"/>
    <w:rsid w:val="008A5923"/>
    <w:rsid w:val="008B1120"/>
    <w:rsid w:val="008B1AA1"/>
    <w:rsid w:val="008B1BFF"/>
    <w:rsid w:val="008B4BE6"/>
    <w:rsid w:val="008B4E11"/>
    <w:rsid w:val="008C2DD5"/>
    <w:rsid w:val="008F12A1"/>
    <w:rsid w:val="008F3624"/>
    <w:rsid w:val="008F73D1"/>
    <w:rsid w:val="009002CA"/>
    <w:rsid w:val="00903AF9"/>
    <w:rsid w:val="0090511D"/>
    <w:rsid w:val="0090579F"/>
    <w:rsid w:val="009143C9"/>
    <w:rsid w:val="00915A40"/>
    <w:rsid w:val="009201C9"/>
    <w:rsid w:val="00930424"/>
    <w:rsid w:val="00942BCB"/>
    <w:rsid w:val="00942F03"/>
    <w:rsid w:val="00953155"/>
    <w:rsid w:val="00960CB9"/>
    <w:rsid w:val="00961B81"/>
    <w:rsid w:val="00962ED5"/>
    <w:rsid w:val="00971561"/>
    <w:rsid w:val="009761DA"/>
    <w:rsid w:val="009858FE"/>
    <w:rsid w:val="009860EA"/>
    <w:rsid w:val="00990719"/>
    <w:rsid w:val="0099315C"/>
    <w:rsid w:val="009C02E5"/>
    <w:rsid w:val="009C0E0E"/>
    <w:rsid w:val="009C26E3"/>
    <w:rsid w:val="009C30C1"/>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0B"/>
    <w:rsid w:val="00A345F7"/>
    <w:rsid w:val="00A404F7"/>
    <w:rsid w:val="00A42581"/>
    <w:rsid w:val="00A51447"/>
    <w:rsid w:val="00A53F34"/>
    <w:rsid w:val="00A540EB"/>
    <w:rsid w:val="00A5539A"/>
    <w:rsid w:val="00A60B97"/>
    <w:rsid w:val="00A71E51"/>
    <w:rsid w:val="00A764E4"/>
    <w:rsid w:val="00A77F56"/>
    <w:rsid w:val="00A954D1"/>
    <w:rsid w:val="00A95A2D"/>
    <w:rsid w:val="00AA34B1"/>
    <w:rsid w:val="00AA719D"/>
    <w:rsid w:val="00AB06B2"/>
    <w:rsid w:val="00AB1C3D"/>
    <w:rsid w:val="00AB29A8"/>
    <w:rsid w:val="00AB7D22"/>
    <w:rsid w:val="00AC1A1D"/>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42DDB"/>
    <w:rsid w:val="00B472D0"/>
    <w:rsid w:val="00B5381E"/>
    <w:rsid w:val="00B57F24"/>
    <w:rsid w:val="00B6145A"/>
    <w:rsid w:val="00B61570"/>
    <w:rsid w:val="00B6585E"/>
    <w:rsid w:val="00B72578"/>
    <w:rsid w:val="00B744FB"/>
    <w:rsid w:val="00B77DF1"/>
    <w:rsid w:val="00B84A8E"/>
    <w:rsid w:val="00B85252"/>
    <w:rsid w:val="00B92CFA"/>
    <w:rsid w:val="00B92D67"/>
    <w:rsid w:val="00B952D8"/>
    <w:rsid w:val="00B9615A"/>
    <w:rsid w:val="00BA1CBE"/>
    <w:rsid w:val="00BA1D53"/>
    <w:rsid w:val="00BA3831"/>
    <w:rsid w:val="00BA500B"/>
    <w:rsid w:val="00BA5B5B"/>
    <w:rsid w:val="00BB008B"/>
    <w:rsid w:val="00BB0093"/>
    <w:rsid w:val="00BB2181"/>
    <w:rsid w:val="00BB3C82"/>
    <w:rsid w:val="00BB57F6"/>
    <w:rsid w:val="00BC2684"/>
    <w:rsid w:val="00BC35AA"/>
    <w:rsid w:val="00BC5BB3"/>
    <w:rsid w:val="00BD2F0F"/>
    <w:rsid w:val="00BD53BD"/>
    <w:rsid w:val="00BD5DEF"/>
    <w:rsid w:val="00BE3923"/>
    <w:rsid w:val="00BE4802"/>
    <w:rsid w:val="00BF170E"/>
    <w:rsid w:val="00BF509C"/>
    <w:rsid w:val="00BF7CF6"/>
    <w:rsid w:val="00C069DB"/>
    <w:rsid w:val="00C119D6"/>
    <w:rsid w:val="00C13DA5"/>
    <w:rsid w:val="00C141D0"/>
    <w:rsid w:val="00C20F98"/>
    <w:rsid w:val="00C21F77"/>
    <w:rsid w:val="00C249C9"/>
    <w:rsid w:val="00C27BEF"/>
    <w:rsid w:val="00C32A74"/>
    <w:rsid w:val="00C33BEA"/>
    <w:rsid w:val="00C424F1"/>
    <w:rsid w:val="00C4424F"/>
    <w:rsid w:val="00C445CC"/>
    <w:rsid w:val="00C4599F"/>
    <w:rsid w:val="00C45F82"/>
    <w:rsid w:val="00C475F7"/>
    <w:rsid w:val="00C53E01"/>
    <w:rsid w:val="00C81CDA"/>
    <w:rsid w:val="00C83148"/>
    <w:rsid w:val="00C846A9"/>
    <w:rsid w:val="00C87B56"/>
    <w:rsid w:val="00C97610"/>
    <w:rsid w:val="00CA2822"/>
    <w:rsid w:val="00CB128D"/>
    <w:rsid w:val="00CB6841"/>
    <w:rsid w:val="00CB7E62"/>
    <w:rsid w:val="00CC7AC8"/>
    <w:rsid w:val="00CD0459"/>
    <w:rsid w:val="00CD1F68"/>
    <w:rsid w:val="00CD3E6A"/>
    <w:rsid w:val="00CE1C4A"/>
    <w:rsid w:val="00CE224F"/>
    <w:rsid w:val="00CF1BF6"/>
    <w:rsid w:val="00CF6CCE"/>
    <w:rsid w:val="00D00C36"/>
    <w:rsid w:val="00D0145D"/>
    <w:rsid w:val="00D02424"/>
    <w:rsid w:val="00D06527"/>
    <w:rsid w:val="00D07A16"/>
    <w:rsid w:val="00D11F1D"/>
    <w:rsid w:val="00D12DE0"/>
    <w:rsid w:val="00D14E81"/>
    <w:rsid w:val="00D1647F"/>
    <w:rsid w:val="00D16C96"/>
    <w:rsid w:val="00D20F95"/>
    <w:rsid w:val="00D3779C"/>
    <w:rsid w:val="00D37DCA"/>
    <w:rsid w:val="00D54373"/>
    <w:rsid w:val="00D62225"/>
    <w:rsid w:val="00D65D20"/>
    <w:rsid w:val="00D745DA"/>
    <w:rsid w:val="00D74B76"/>
    <w:rsid w:val="00D77DA5"/>
    <w:rsid w:val="00D84420"/>
    <w:rsid w:val="00D85438"/>
    <w:rsid w:val="00D8732D"/>
    <w:rsid w:val="00D927DB"/>
    <w:rsid w:val="00DA0D76"/>
    <w:rsid w:val="00DA1274"/>
    <w:rsid w:val="00DA133C"/>
    <w:rsid w:val="00DA2B1D"/>
    <w:rsid w:val="00DA30A3"/>
    <w:rsid w:val="00DA3989"/>
    <w:rsid w:val="00DB7EE7"/>
    <w:rsid w:val="00DC0474"/>
    <w:rsid w:val="00DC3E82"/>
    <w:rsid w:val="00DC529B"/>
    <w:rsid w:val="00DD563C"/>
    <w:rsid w:val="00DE06EE"/>
    <w:rsid w:val="00DF0141"/>
    <w:rsid w:val="00DF0807"/>
    <w:rsid w:val="00DF513B"/>
    <w:rsid w:val="00DF71E8"/>
    <w:rsid w:val="00DF7A8C"/>
    <w:rsid w:val="00E0352C"/>
    <w:rsid w:val="00E07BB2"/>
    <w:rsid w:val="00E11E1A"/>
    <w:rsid w:val="00E12C95"/>
    <w:rsid w:val="00E14566"/>
    <w:rsid w:val="00E14911"/>
    <w:rsid w:val="00E22660"/>
    <w:rsid w:val="00E232E0"/>
    <w:rsid w:val="00E23A5B"/>
    <w:rsid w:val="00E3030C"/>
    <w:rsid w:val="00E30F08"/>
    <w:rsid w:val="00E32EAF"/>
    <w:rsid w:val="00E34BF8"/>
    <w:rsid w:val="00E44F7F"/>
    <w:rsid w:val="00E50CC8"/>
    <w:rsid w:val="00E51FE8"/>
    <w:rsid w:val="00E5244F"/>
    <w:rsid w:val="00E55E57"/>
    <w:rsid w:val="00E56249"/>
    <w:rsid w:val="00E63DE5"/>
    <w:rsid w:val="00E67ACE"/>
    <w:rsid w:val="00E67BA7"/>
    <w:rsid w:val="00E757FD"/>
    <w:rsid w:val="00E84140"/>
    <w:rsid w:val="00E93D69"/>
    <w:rsid w:val="00E94FA8"/>
    <w:rsid w:val="00EB4FD7"/>
    <w:rsid w:val="00EC3400"/>
    <w:rsid w:val="00EC564B"/>
    <w:rsid w:val="00EC6F58"/>
    <w:rsid w:val="00ED4634"/>
    <w:rsid w:val="00ED7CB3"/>
    <w:rsid w:val="00EE1123"/>
    <w:rsid w:val="00EE1706"/>
    <w:rsid w:val="00EE3A4F"/>
    <w:rsid w:val="00EF0C91"/>
    <w:rsid w:val="00EF2660"/>
    <w:rsid w:val="00EF26A2"/>
    <w:rsid w:val="00F02B4F"/>
    <w:rsid w:val="00F06892"/>
    <w:rsid w:val="00F1668A"/>
    <w:rsid w:val="00F269DE"/>
    <w:rsid w:val="00F26A4B"/>
    <w:rsid w:val="00F31636"/>
    <w:rsid w:val="00F376E3"/>
    <w:rsid w:val="00F37ED4"/>
    <w:rsid w:val="00F40A46"/>
    <w:rsid w:val="00F41D12"/>
    <w:rsid w:val="00F45235"/>
    <w:rsid w:val="00F50B3C"/>
    <w:rsid w:val="00F5592A"/>
    <w:rsid w:val="00F57E9D"/>
    <w:rsid w:val="00F66E1A"/>
    <w:rsid w:val="00F71EBB"/>
    <w:rsid w:val="00F728DA"/>
    <w:rsid w:val="00F8554D"/>
    <w:rsid w:val="00FB4E60"/>
    <w:rsid w:val="00FC4ACC"/>
    <w:rsid w:val="00FD0892"/>
    <w:rsid w:val="00FD6782"/>
    <w:rsid w:val="00FE1C6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A1D"/>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949</Words>
  <Characters>5414</Characters>
  <Application>Microsoft Office Word</Application>
  <DocSecurity>0</DocSecurity>
  <Lines>45</Lines>
  <Paragraphs>12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Direcția surse de energie regenerabilă și mobilitate verde</cp:lastModifiedBy>
  <cp:revision>8</cp:revision>
  <cp:lastPrinted>2024-03-11T11:21:00Z</cp:lastPrinted>
  <dcterms:created xsi:type="dcterms:W3CDTF">2025-04-07T05:59:00Z</dcterms:created>
  <dcterms:modified xsi:type="dcterms:W3CDTF">2025-05-15T11:09:00Z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