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8D95" w14:textId="15C3E5AB" w:rsidR="004842D3" w:rsidRPr="00B62EB2" w:rsidRDefault="002327D3" w:rsidP="00703E15">
      <w:pPr>
        <w:pStyle w:val="BodyText"/>
        <w:spacing w:before="74"/>
        <w:ind w:left="180" w:right="117"/>
        <w:jc w:val="center"/>
      </w:pPr>
      <w:r w:rsidRPr="00B62EB2">
        <w:t>N</w:t>
      </w:r>
      <w:r w:rsidR="004B6E6B" w:rsidRPr="00B62EB2">
        <w:t>OTĂ DE FUNDAMENTARE</w:t>
      </w:r>
    </w:p>
    <w:p w14:paraId="18181314" w14:textId="7AA7D3B9" w:rsidR="004842D3" w:rsidRPr="007E22B7" w:rsidRDefault="002327D3" w:rsidP="007E22B7">
      <w:pPr>
        <w:pStyle w:val="BodyText"/>
        <w:ind w:left="180" w:right="117"/>
        <w:jc w:val="center"/>
      </w:pPr>
      <w:r w:rsidRPr="00B62EB2">
        <w:t>la</w:t>
      </w:r>
      <w:r w:rsidRPr="00B62EB2">
        <w:rPr>
          <w:spacing w:val="-3"/>
        </w:rPr>
        <w:t xml:space="preserve"> </w:t>
      </w:r>
      <w:r w:rsidRPr="00B62EB2">
        <w:t>proiectul</w:t>
      </w:r>
      <w:r w:rsidRPr="00B62EB2">
        <w:rPr>
          <w:spacing w:val="-2"/>
        </w:rPr>
        <w:t xml:space="preserve"> </w:t>
      </w:r>
      <w:r w:rsidRPr="00B62EB2">
        <w:t>Hotărârii</w:t>
      </w:r>
      <w:r w:rsidRPr="00B62EB2">
        <w:rPr>
          <w:spacing w:val="-2"/>
        </w:rPr>
        <w:t xml:space="preserve"> </w:t>
      </w:r>
      <w:r w:rsidRPr="00B62EB2">
        <w:t>Guvernului</w:t>
      </w:r>
      <w:r w:rsidRPr="00B62EB2">
        <w:rPr>
          <w:spacing w:val="-5"/>
        </w:rPr>
        <w:t xml:space="preserve"> </w:t>
      </w:r>
      <w:r w:rsidR="00BD7F4C" w:rsidRPr="00B62EB2">
        <w:t>pentru modificarea H</w:t>
      </w:r>
      <w:r w:rsidR="00A15654" w:rsidRPr="009B3A7F">
        <w:t>otăr</w:t>
      </w:r>
      <w:r w:rsidR="00A15654" w:rsidRPr="00B62EB2">
        <w:t xml:space="preserve">ârii </w:t>
      </w:r>
      <w:r w:rsidR="00BD7F4C" w:rsidRPr="00B62EB2">
        <w:t>G</w:t>
      </w:r>
      <w:r w:rsidR="00A15654" w:rsidRPr="00B62EB2">
        <w:t>uvernului</w:t>
      </w:r>
      <w:r w:rsidR="00BD7F4C" w:rsidRPr="00B62EB2">
        <w:t xml:space="preserve"> nr.</w:t>
      </w:r>
      <w:r w:rsidR="00A15654" w:rsidRPr="00B62EB2">
        <w:t xml:space="preserve"> </w:t>
      </w:r>
      <w:r w:rsidR="00BD7F4C" w:rsidRPr="00B62EB2">
        <w:t>401/2021 cu privire la aprobarea limitelor de capacitate, a cotelor maxime și a categoriilor de capacitate în domeniul energiei electrice din surse regenerabile valabile până la data de 31 decembrie 2025</w:t>
      </w:r>
    </w:p>
    <w:tbl>
      <w:tblPr>
        <w:tblW w:w="1031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10"/>
      </w:tblGrid>
      <w:tr w:rsidR="004842D3" w:rsidRPr="00B62EB2" w14:paraId="265E6FD9" w14:textId="77777777" w:rsidTr="004E65EF">
        <w:trPr>
          <w:trHeight w:val="323"/>
        </w:trPr>
        <w:tc>
          <w:tcPr>
            <w:tcW w:w="10310" w:type="dxa"/>
          </w:tcPr>
          <w:p w14:paraId="6EA0B576" w14:textId="7F73164F" w:rsidR="004842D3" w:rsidRPr="00B62EB2" w:rsidRDefault="004B6E6B" w:rsidP="00703E15">
            <w:pPr>
              <w:pStyle w:val="TableParagraph"/>
              <w:numPr>
                <w:ilvl w:val="0"/>
                <w:numId w:val="4"/>
              </w:numPr>
              <w:spacing w:before="20"/>
              <w:rPr>
                <w:b/>
                <w:sz w:val="24"/>
              </w:rPr>
            </w:pPr>
            <w:r w:rsidRPr="00B62EB2">
              <w:rPr>
                <w:b/>
                <w:sz w:val="24"/>
              </w:rPr>
              <w:t>Denumirea sau numele autorului și, după caz, a/al participanților la elaborarea proiectului actului normativ</w:t>
            </w:r>
          </w:p>
        </w:tc>
      </w:tr>
      <w:tr w:rsidR="007F51BE" w:rsidRPr="00B62EB2" w14:paraId="57C71AA1" w14:textId="77777777" w:rsidTr="004E65EF">
        <w:trPr>
          <w:trHeight w:val="323"/>
        </w:trPr>
        <w:tc>
          <w:tcPr>
            <w:tcW w:w="10310" w:type="dxa"/>
          </w:tcPr>
          <w:p w14:paraId="24A48D22" w14:textId="77777777" w:rsidR="007F51BE" w:rsidRPr="00B62EB2" w:rsidRDefault="007F51BE" w:rsidP="00606974">
            <w:pPr>
              <w:pStyle w:val="TableParagraph"/>
              <w:spacing w:before="20"/>
              <w:rPr>
                <w:b/>
                <w:sz w:val="24"/>
              </w:rPr>
            </w:pPr>
          </w:p>
        </w:tc>
      </w:tr>
      <w:tr w:rsidR="004842D3" w:rsidRPr="00B62EB2" w14:paraId="5B529755" w14:textId="77777777" w:rsidTr="004E65EF">
        <w:trPr>
          <w:trHeight w:val="683"/>
        </w:trPr>
        <w:tc>
          <w:tcPr>
            <w:tcW w:w="10310" w:type="dxa"/>
          </w:tcPr>
          <w:p w14:paraId="0FF5949A" w14:textId="0CF5AEEA" w:rsidR="004842D3" w:rsidRPr="00B62EB2" w:rsidRDefault="002327D3" w:rsidP="00606974">
            <w:pPr>
              <w:pStyle w:val="TableParagraph"/>
              <w:spacing w:before="133"/>
              <w:ind w:left="104" w:right="181"/>
              <w:rPr>
                <w:sz w:val="24"/>
              </w:rPr>
            </w:pPr>
            <w:r w:rsidRPr="00B62EB2">
              <w:rPr>
                <w:sz w:val="24"/>
              </w:rPr>
              <w:t xml:space="preserve">Proiectul Hotărârii Guvernului </w:t>
            </w:r>
            <w:r w:rsidR="00BD7F4C" w:rsidRPr="00B62EB2">
              <w:rPr>
                <w:sz w:val="24"/>
              </w:rPr>
              <w:t>pentru modificarea H</w:t>
            </w:r>
            <w:r w:rsidR="00E03147">
              <w:rPr>
                <w:sz w:val="24"/>
              </w:rPr>
              <w:t xml:space="preserve">otărârii </w:t>
            </w:r>
            <w:r w:rsidR="00BD7F4C" w:rsidRPr="00B62EB2">
              <w:rPr>
                <w:sz w:val="24"/>
              </w:rPr>
              <w:t>G</w:t>
            </w:r>
            <w:r w:rsidR="00E03147">
              <w:rPr>
                <w:sz w:val="24"/>
              </w:rPr>
              <w:t>uvernului</w:t>
            </w:r>
            <w:r w:rsidR="00BD7F4C" w:rsidRPr="00B62EB2">
              <w:rPr>
                <w:sz w:val="24"/>
              </w:rPr>
              <w:t xml:space="preserve"> nr.401/2021 cu privire la aprobarea limitelor de capacitate, a cotelor maxime și a categoriilor de capacitate în domeniul energiei electrice din surse regenerabile valabile până la data de 31 decembrie 2025 </w:t>
            </w:r>
            <w:r w:rsidRPr="00B62EB2">
              <w:rPr>
                <w:sz w:val="24"/>
              </w:rPr>
              <w:t>a fost elaborat de către Ministerul Energiei.</w:t>
            </w:r>
          </w:p>
        </w:tc>
      </w:tr>
      <w:tr w:rsidR="004842D3" w:rsidRPr="00B62EB2" w14:paraId="19E2854A" w14:textId="77777777" w:rsidTr="004E65EF">
        <w:trPr>
          <w:trHeight w:val="323"/>
        </w:trPr>
        <w:tc>
          <w:tcPr>
            <w:tcW w:w="10310" w:type="dxa"/>
          </w:tcPr>
          <w:p w14:paraId="0A848B59" w14:textId="2431014C" w:rsidR="004842D3" w:rsidRPr="00B62EB2" w:rsidRDefault="004B6E6B" w:rsidP="00703E15">
            <w:pPr>
              <w:pStyle w:val="TableParagraph"/>
              <w:numPr>
                <w:ilvl w:val="0"/>
                <w:numId w:val="4"/>
              </w:numPr>
              <w:spacing w:before="20"/>
              <w:rPr>
                <w:b/>
                <w:sz w:val="24"/>
              </w:rPr>
            </w:pPr>
            <w:r w:rsidRPr="00B62EB2">
              <w:rPr>
                <w:b/>
                <w:sz w:val="24"/>
              </w:rPr>
              <w:t>Condițiile ce au impus elaborarea proiectului actului normativ</w:t>
            </w:r>
          </w:p>
        </w:tc>
      </w:tr>
      <w:tr w:rsidR="004B6E6B" w:rsidRPr="00B62EB2" w14:paraId="5A15481A" w14:textId="77777777" w:rsidTr="004E65EF">
        <w:trPr>
          <w:trHeight w:val="323"/>
        </w:trPr>
        <w:tc>
          <w:tcPr>
            <w:tcW w:w="10310" w:type="dxa"/>
          </w:tcPr>
          <w:p w14:paraId="0ED9F193" w14:textId="6B9B1BAF" w:rsidR="004B6E6B" w:rsidRPr="00B62EB2" w:rsidRDefault="004B6E6B" w:rsidP="004B6E6B">
            <w:pPr>
              <w:pStyle w:val="TableParagraph"/>
              <w:numPr>
                <w:ilvl w:val="1"/>
                <w:numId w:val="4"/>
              </w:numPr>
              <w:spacing w:before="20"/>
              <w:rPr>
                <w:bCs/>
                <w:sz w:val="24"/>
              </w:rPr>
            </w:pPr>
            <w:r w:rsidRPr="00B62EB2">
              <w:rPr>
                <w:bCs/>
                <w:sz w:val="24"/>
              </w:rPr>
              <w:t>Temeiul legal sau, după caz, sursa proiectului actului normativ</w:t>
            </w:r>
          </w:p>
        </w:tc>
      </w:tr>
      <w:tr w:rsidR="004842D3" w:rsidRPr="00B62EB2" w14:paraId="00E005DB" w14:textId="77777777" w:rsidTr="004E65EF">
        <w:trPr>
          <w:trHeight w:val="1637"/>
        </w:trPr>
        <w:tc>
          <w:tcPr>
            <w:tcW w:w="10310" w:type="dxa"/>
          </w:tcPr>
          <w:p w14:paraId="285C8827" w14:textId="4EEEB393" w:rsidR="000964F4" w:rsidRPr="00B62EB2" w:rsidRDefault="003F39DC" w:rsidP="00606974">
            <w:pPr>
              <w:pStyle w:val="TableParagraph"/>
              <w:spacing w:before="133"/>
              <w:ind w:left="0" w:right="181"/>
              <w:rPr>
                <w:sz w:val="24"/>
              </w:rPr>
            </w:pPr>
            <w:r w:rsidRPr="00B62EB2">
              <w:rPr>
                <w:rFonts w:eastAsiaTheme="minorHAnsi"/>
                <w:sz w:val="24"/>
                <w:szCs w:val="24"/>
              </w:rPr>
              <w:t xml:space="preserve">Conform </w:t>
            </w:r>
            <w:r w:rsidR="00302872" w:rsidRPr="00B62EB2">
              <w:rPr>
                <w:rFonts w:eastAsiaTheme="minorHAnsi"/>
                <w:b/>
                <w:bCs/>
                <w:sz w:val="24"/>
                <w:szCs w:val="24"/>
              </w:rPr>
              <w:t>A</w:t>
            </w:r>
            <w:r w:rsidRPr="00B62EB2">
              <w:rPr>
                <w:rFonts w:eastAsiaTheme="minorHAnsi"/>
                <w:b/>
                <w:bCs/>
                <w:sz w:val="24"/>
                <w:szCs w:val="24"/>
              </w:rPr>
              <w:t>rticolului 10</w:t>
            </w:r>
            <w:r w:rsidRPr="00B62EB2">
              <w:rPr>
                <w:rFonts w:eastAsiaTheme="minorHAnsi"/>
                <w:sz w:val="24"/>
                <w:szCs w:val="24"/>
              </w:rPr>
              <w:t xml:space="preserve"> lit</w:t>
            </w:r>
            <w:r w:rsidR="00285E47">
              <w:rPr>
                <w:rFonts w:eastAsiaTheme="minorHAnsi"/>
                <w:sz w:val="24"/>
                <w:szCs w:val="24"/>
              </w:rPr>
              <w:t>era</w:t>
            </w:r>
            <w:r w:rsidRPr="00B62EB2">
              <w:rPr>
                <w:rFonts w:eastAsiaTheme="minorHAnsi"/>
                <w:sz w:val="24"/>
                <w:szCs w:val="24"/>
              </w:rPr>
              <w:t xml:space="preserve"> </w:t>
            </w:r>
            <w:r w:rsidR="00285E47">
              <w:rPr>
                <w:rFonts w:eastAsiaTheme="minorHAnsi"/>
                <w:sz w:val="24"/>
                <w:szCs w:val="24"/>
              </w:rPr>
              <w:t xml:space="preserve">e), </w:t>
            </w:r>
            <w:r w:rsidRPr="00B62EB2">
              <w:rPr>
                <w:rFonts w:eastAsiaTheme="minorHAnsi"/>
                <w:sz w:val="24"/>
                <w:szCs w:val="24"/>
              </w:rPr>
              <w:t>e</w:t>
            </w:r>
            <w:r w:rsidRPr="00B62EB2">
              <w:rPr>
                <w:rFonts w:eastAsiaTheme="minorHAnsi"/>
                <w:sz w:val="24"/>
                <w:szCs w:val="24"/>
                <w:vertAlign w:val="superscript"/>
              </w:rPr>
              <w:t>1</w:t>
            </w:r>
            <w:r w:rsidRPr="00B62EB2">
              <w:rPr>
                <w:rFonts w:eastAsiaTheme="minorHAnsi"/>
                <w:sz w:val="24"/>
                <w:szCs w:val="24"/>
              </w:rPr>
              <w:t>)</w:t>
            </w:r>
            <w:r w:rsidR="00285E47">
              <w:rPr>
                <w:rFonts w:eastAsiaTheme="minorHAnsi"/>
                <w:sz w:val="24"/>
                <w:szCs w:val="24"/>
              </w:rPr>
              <w:t xml:space="preserve"> și i)</w:t>
            </w:r>
            <w:r w:rsidRPr="00B62EB2">
              <w:rPr>
                <w:rFonts w:eastAsiaTheme="minorHAnsi"/>
                <w:sz w:val="24"/>
                <w:szCs w:val="24"/>
              </w:rPr>
              <w:t xml:space="preserve"> din Legea nr. 10/2016 privind promovarea utilizării energiei din surse regenerabile (în continuare - Legea nr. 10/2016), Guvernul stabilește, aprobă și actualizează cotele de capacitate, pe categorii de consumatori finali, pentru care pot fi stabilite și plafoane de capacitate individuală pentru fiecare centrală electrică, ce urmează a fi oferite pentru implementarea mecanismului de facturare netă. </w:t>
            </w:r>
          </w:p>
        </w:tc>
      </w:tr>
      <w:tr w:rsidR="004842D3" w:rsidRPr="00B62EB2" w14:paraId="5941E811" w14:textId="77777777" w:rsidTr="004E65EF">
        <w:trPr>
          <w:trHeight w:val="602"/>
        </w:trPr>
        <w:tc>
          <w:tcPr>
            <w:tcW w:w="10310" w:type="dxa"/>
          </w:tcPr>
          <w:p w14:paraId="3877714A" w14:textId="03D41166" w:rsidR="00DC082A" w:rsidRPr="00B62EB2" w:rsidRDefault="00DC082A" w:rsidP="00DC082A">
            <w:pPr>
              <w:pStyle w:val="TableParagraph"/>
              <w:numPr>
                <w:ilvl w:val="1"/>
                <w:numId w:val="4"/>
              </w:numPr>
              <w:spacing w:before="20"/>
              <w:rPr>
                <w:bCs/>
                <w:sz w:val="24"/>
              </w:rPr>
            </w:pPr>
            <w:r w:rsidRPr="00B62EB2">
              <w:rPr>
                <w:bCs/>
                <w:sz w:val="24"/>
              </w:rPr>
              <w:t>Descrierea situației actuale și a problemelor care impun intervenția, inclusiv a cadrului normativ aplicabil și a deficiențelor/lacunelor normative</w:t>
            </w:r>
          </w:p>
        </w:tc>
      </w:tr>
      <w:tr w:rsidR="00DC082A" w:rsidRPr="00B62EB2" w14:paraId="335CA4EF" w14:textId="77777777" w:rsidTr="004E65EF">
        <w:trPr>
          <w:trHeight w:val="602"/>
        </w:trPr>
        <w:tc>
          <w:tcPr>
            <w:tcW w:w="10310" w:type="dxa"/>
          </w:tcPr>
          <w:p w14:paraId="5E112132" w14:textId="28EC55A5" w:rsidR="00813026" w:rsidRPr="00B62EB2" w:rsidRDefault="00813026" w:rsidP="00606974">
            <w:pPr>
              <w:pStyle w:val="TableParagraph"/>
              <w:spacing w:before="120"/>
              <w:ind w:left="0" w:right="181"/>
              <w:rPr>
                <w:rFonts w:eastAsiaTheme="minorHAnsi"/>
                <w:sz w:val="24"/>
                <w:szCs w:val="24"/>
              </w:rPr>
            </w:pPr>
            <w:r w:rsidRPr="00B62EB2">
              <w:rPr>
                <w:rFonts w:eastAsiaTheme="minorHAnsi"/>
                <w:sz w:val="24"/>
                <w:szCs w:val="24"/>
              </w:rPr>
              <w:t>Mecanismul de</w:t>
            </w:r>
            <w:r w:rsidR="00E03147">
              <w:rPr>
                <w:rFonts w:eastAsiaTheme="minorHAnsi"/>
                <w:sz w:val="24"/>
                <w:szCs w:val="24"/>
              </w:rPr>
              <w:t xml:space="preserve"> sprijin</w:t>
            </w:r>
            <w:r w:rsidRPr="00B62EB2">
              <w:rPr>
                <w:rFonts w:eastAsiaTheme="minorHAnsi"/>
                <w:sz w:val="24"/>
                <w:szCs w:val="24"/>
              </w:rPr>
              <w:t xml:space="preserve"> </w:t>
            </w:r>
            <w:r w:rsidR="00A97557" w:rsidRPr="00B62EB2">
              <w:rPr>
                <w:rFonts w:eastAsiaTheme="minorHAnsi"/>
                <w:sz w:val="24"/>
                <w:szCs w:val="24"/>
              </w:rPr>
              <w:t>„</w:t>
            </w:r>
            <w:r w:rsidRPr="004E65EF">
              <w:rPr>
                <w:rFonts w:eastAsiaTheme="minorHAnsi"/>
                <w:i/>
                <w:iCs/>
                <w:sz w:val="24"/>
                <w:szCs w:val="24"/>
              </w:rPr>
              <w:t>facturare netă</w:t>
            </w:r>
            <w:r w:rsidR="00A97557" w:rsidRPr="00B62EB2">
              <w:rPr>
                <w:rFonts w:eastAsiaTheme="minorHAnsi"/>
                <w:sz w:val="24"/>
                <w:szCs w:val="24"/>
              </w:rPr>
              <w:t>”</w:t>
            </w:r>
            <w:r w:rsidRPr="00B62EB2">
              <w:rPr>
                <w:rFonts w:eastAsiaTheme="minorHAnsi"/>
                <w:sz w:val="24"/>
                <w:szCs w:val="24"/>
              </w:rPr>
              <w:t xml:space="preserve"> a fost introdus ca urmare a modificărilor </w:t>
            </w:r>
            <w:r w:rsidR="00CD0016" w:rsidRPr="00B62EB2">
              <w:rPr>
                <w:rFonts w:eastAsiaTheme="minorHAnsi"/>
                <w:sz w:val="24"/>
                <w:szCs w:val="24"/>
              </w:rPr>
              <w:t>aduse</w:t>
            </w:r>
            <w:r w:rsidR="00C27AA0" w:rsidRPr="00B62EB2">
              <w:rPr>
                <w:rFonts w:eastAsiaTheme="minorHAnsi"/>
                <w:sz w:val="24"/>
                <w:szCs w:val="24"/>
              </w:rPr>
              <w:t xml:space="preserve"> Legii nr. 10/2016 a</w:t>
            </w:r>
            <w:r w:rsidR="00675FDB">
              <w:rPr>
                <w:rFonts w:eastAsiaTheme="minorHAnsi"/>
                <w:sz w:val="24"/>
                <w:szCs w:val="24"/>
              </w:rPr>
              <w:t>dopta</w:t>
            </w:r>
            <w:r w:rsidR="00C27AA0" w:rsidRPr="00B62EB2">
              <w:rPr>
                <w:rFonts w:eastAsiaTheme="minorHAnsi"/>
                <w:sz w:val="24"/>
                <w:szCs w:val="24"/>
              </w:rPr>
              <w:t xml:space="preserve">te la data de 09 noiembrie 2023 prin Legea nr. 331/2023. </w:t>
            </w:r>
          </w:p>
          <w:p w14:paraId="73A140F1" w14:textId="50DE25C8" w:rsidR="00954369" w:rsidRPr="00B62EB2" w:rsidRDefault="00A97557" w:rsidP="00606974">
            <w:pPr>
              <w:pStyle w:val="TableParagraph"/>
              <w:spacing w:before="120"/>
              <w:ind w:left="0" w:right="181"/>
              <w:rPr>
                <w:rFonts w:eastAsiaTheme="minorHAnsi"/>
                <w:sz w:val="24"/>
                <w:szCs w:val="24"/>
              </w:rPr>
            </w:pPr>
            <w:r w:rsidRPr="00B62EB2">
              <w:rPr>
                <w:rFonts w:eastAsiaTheme="minorHAnsi"/>
                <w:sz w:val="24"/>
                <w:szCs w:val="24"/>
              </w:rPr>
              <w:t xml:space="preserve">Prin introducerea acestui mecanism, </w:t>
            </w:r>
            <w:r w:rsidR="00CD0016" w:rsidRPr="00B62EB2">
              <w:rPr>
                <w:rFonts w:eastAsiaTheme="minorHAnsi"/>
                <w:sz w:val="24"/>
                <w:szCs w:val="24"/>
              </w:rPr>
              <w:t>legiuitorul</w:t>
            </w:r>
            <w:r w:rsidRPr="00B62EB2">
              <w:rPr>
                <w:rFonts w:eastAsiaTheme="minorHAnsi"/>
                <w:sz w:val="24"/>
                <w:szCs w:val="24"/>
              </w:rPr>
              <w:t xml:space="preserve"> a avut </w:t>
            </w:r>
            <w:r w:rsidR="00CD0016" w:rsidRPr="00B62EB2">
              <w:rPr>
                <w:rFonts w:eastAsiaTheme="minorHAnsi"/>
                <w:sz w:val="24"/>
                <w:szCs w:val="24"/>
              </w:rPr>
              <w:t>intenția</w:t>
            </w:r>
            <w:r w:rsidRPr="00B62EB2">
              <w:rPr>
                <w:rFonts w:eastAsiaTheme="minorHAnsi"/>
                <w:sz w:val="24"/>
                <w:szCs w:val="24"/>
              </w:rPr>
              <w:t xml:space="preserve"> de a rezolva o serie de probleme identificate pe parcursul </w:t>
            </w:r>
            <w:r w:rsidR="00911228" w:rsidRPr="00B62EB2">
              <w:rPr>
                <w:rFonts w:eastAsiaTheme="minorHAnsi"/>
                <w:sz w:val="24"/>
                <w:szCs w:val="24"/>
              </w:rPr>
              <w:t xml:space="preserve">aplicării </w:t>
            </w:r>
            <w:r w:rsidRPr="00B62EB2">
              <w:rPr>
                <w:rFonts w:eastAsiaTheme="minorHAnsi"/>
                <w:sz w:val="24"/>
                <w:szCs w:val="24"/>
              </w:rPr>
              <w:t xml:space="preserve">mecanismului </w:t>
            </w:r>
            <w:r w:rsidR="00675FDB">
              <w:rPr>
                <w:rFonts w:eastAsiaTheme="minorHAnsi"/>
                <w:sz w:val="24"/>
                <w:szCs w:val="24"/>
              </w:rPr>
              <w:t xml:space="preserve">de sprijin </w:t>
            </w:r>
            <w:r w:rsidRPr="00B62EB2">
              <w:rPr>
                <w:rFonts w:eastAsiaTheme="minorHAnsi"/>
                <w:sz w:val="24"/>
                <w:szCs w:val="24"/>
              </w:rPr>
              <w:t xml:space="preserve">„contorizare netă” </w:t>
            </w:r>
            <w:r w:rsidR="00954369" w:rsidRPr="00B62EB2">
              <w:rPr>
                <w:rFonts w:eastAsiaTheme="minorHAnsi"/>
                <w:sz w:val="24"/>
                <w:szCs w:val="24"/>
              </w:rPr>
              <w:t>după cum urmează:</w:t>
            </w:r>
          </w:p>
          <w:p w14:paraId="385D06D1" w14:textId="0D9E5BAF" w:rsidR="00BF2344" w:rsidRPr="00606974" w:rsidRDefault="00E92631" w:rsidP="00606974">
            <w:pPr>
              <w:pStyle w:val="NormalWeb"/>
              <w:spacing w:before="120" w:beforeAutospacing="0" w:after="0" w:afterAutospacing="0"/>
              <w:jc w:val="both"/>
              <w:rPr>
                <w:lang w:val="ro-RO"/>
              </w:rPr>
            </w:pPr>
            <w:r w:rsidRPr="00606974">
              <w:rPr>
                <w:b/>
                <w:bCs/>
                <w:lang w:val="ro-RO"/>
              </w:rPr>
              <w:t>Subvenționarea încrucișată</w:t>
            </w:r>
            <w:r w:rsidRPr="00606974">
              <w:rPr>
                <w:lang w:val="ro-RO"/>
              </w:rPr>
              <w:t xml:space="preserve"> a beneficiarilor mecanismul</w:t>
            </w:r>
            <w:r w:rsidR="00675FDB">
              <w:rPr>
                <w:lang w:val="ro-RO"/>
              </w:rPr>
              <w:t>ui</w:t>
            </w:r>
            <w:r w:rsidRPr="00606974">
              <w:rPr>
                <w:lang w:val="ro-RO"/>
              </w:rPr>
              <w:t xml:space="preserve"> „</w:t>
            </w:r>
            <w:r w:rsidRPr="004E65EF">
              <w:rPr>
                <w:i/>
                <w:iCs/>
                <w:lang w:val="ro-RO"/>
              </w:rPr>
              <w:t>contorizare netă</w:t>
            </w:r>
            <w:r w:rsidRPr="00606974">
              <w:rPr>
                <w:lang w:val="ro-RO"/>
              </w:rPr>
              <w:t xml:space="preserve">” de către toți consumatorii de energie electrică. </w:t>
            </w:r>
            <w:r w:rsidR="00BF2344" w:rsidRPr="00606974">
              <w:rPr>
                <w:lang w:val="ro-RO"/>
              </w:rPr>
              <w:t>Având în vedere că surplusul de energie electrică generat de centrala electrică a beneficiarului este injectat în rețea, iar în perioadele în care acesta nu produce suficientă energie pentru propriul consum utilizează energia din rețea, apare un dezechilibru financiar. Costul energiei electrice nu este constant pe parcursul anului, ci tinde să fie mai redus vara (când producția fotovoltaică este ridicată, iar consumul mai scăzut) și mai ridicat iarna. În plus, componentele serviciului de distribuție și transport, deși esențiale pentru asigurarea accesului la rețea, nu sunt achitate integral de către beneficiar, chiar dacă acesta este conectat și utilizează infrastructura de transport și distribuție.</w:t>
            </w:r>
          </w:p>
          <w:p w14:paraId="63DB5797" w14:textId="67FB89F5" w:rsidR="00BF2344" w:rsidRPr="00606974" w:rsidRDefault="00E92631" w:rsidP="00606974">
            <w:pPr>
              <w:pStyle w:val="NormalWeb"/>
              <w:spacing w:before="120" w:beforeAutospacing="0" w:after="0" w:afterAutospacing="0"/>
              <w:jc w:val="both"/>
              <w:rPr>
                <w:lang w:val="ro-RO"/>
              </w:rPr>
            </w:pPr>
            <w:r w:rsidRPr="00606974">
              <w:rPr>
                <w:b/>
                <w:bCs/>
                <w:lang w:val="ro-RO"/>
              </w:rPr>
              <w:t>S</w:t>
            </w:r>
            <w:r w:rsidR="00BF2344" w:rsidRPr="00606974">
              <w:rPr>
                <w:b/>
                <w:bCs/>
                <w:lang w:val="ro-RO"/>
              </w:rPr>
              <w:t>upradimensionarea centralelor fotovoltaice</w:t>
            </w:r>
            <w:r w:rsidR="00BF2344" w:rsidRPr="00606974">
              <w:rPr>
                <w:lang w:val="ro-RO"/>
              </w:rPr>
              <w:t xml:space="preserve"> de către unii beneficiari </w:t>
            </w:r>
            <w:r w:rsidRPr="00B62EB2">
              <w:rPr>
                <w:lang w:val="ro-RO"/>
              </w:rPr>
              <w:t xml:space="preserve">care </w:t>
            </w:r>
            <w:r w:rsidR="00BF2344" w:rsidRPr="00606974">
              <w:rPr>
                <w:lang w:val="ro-RO"/>
              </w:rPr>
              <w:t>a transformat mecanismul, inițial conceput pentru reducerea costurilor facturilor la energie electrică, într-un mecanism comercial. Astfel, pe lângă eliminarea totală a costurilor cu energia electrică pe tot parcursul anului, unii beneficiari primesc și recompense financiare pentru surplusul de energie neconsumat.</w:t>
            </w:r>
          </w:p>
          <w:p w14:paraId="70BC299F" w14:textId="77777777" w:rsidR="00BF2344" w:rsidRPr="00606974" w:rsidRDefault="00BF2344" w:rsidP="00606974">
            <w:pPr>
              <w:pStyle w:val="NormalWeb"/>
              <w:spacing w:before="120" w:beforeAutospacing="0" w:after="0" w:afterAutospacing="0"/>
              <w:jc w:val="both"/>
              <w:rPr>
                <w:lang w:val="ro-RO"/>
              </w:rPr>
            </w:pPr>
            <w:r w:rsidRPr="00606974">
              <w:rPr>
                <w:lang w:val="ro-RO"/>
              </w:rPr>
              <w:t xml:space="preserve">Un alt efect al acestei practici este </w:t>
            </w:r>
            <w:r w:rsidRPr="00606974">
              <w:rPr>
                <w:b/>
                <w:bCs/>
                <w:lang w:val="ro-RO"/>
              </w:rPr>
              <w:t>limitarea accesului altor potențiali beneficiari</w:t>
            </w:r>
            <w:r w:rsidRPr="00606974">
              <w:rPr>
                <w:lang w:val="ro-RO"/>
              </w:rPr>
              <w:t xml:space="preserve"> la mecanismul de contorizare netă, cauzată de creșterea artificială a „puterii contractate” la racordarea în rețea, urmată de instalarea unor centrale fotovoltaice cu o capacitate egală cu această putere contractată.</w:t>
            </w:r>
          </w:p>
          <w:p w14:paraId="49CD1937" w14:textId="6AEE0BCB" w:rsidR="006E09E3" w:rsidRPr="00B62EB2" w:rsidRDefault="00BF2344" w:rsidP="00BF2344">
            <w:pPr>
              <w:pStyle w:val="NormalWeb"/>
              <w:spacing w:before="120" w:beforeAutospacing="0" w:after="0" w:afterAutospacing="0"/>
              <w:jc w:val="both"/>
              <w:rPr>
                <w:lang w:val="ro-RO"/>
              </w:rPr>
            </w:pPr>
            <w:r w:rsidRPr="00606974">
              <w:rPr>
                <w:lang w:val="ro-RO"/>
              </w:rPr>
              <w:t>Pentru a corect</w:t>
            </w:r>
            <w:r w:rsidR="00E92631" w:rsidRPr="00B62EB2">
              <w:rPr>
                <w:lang w:val="ro-RO"/>
              </w:rPr>
              <w:t>a</w:t>
            </w:r>
            <w:r w:rsidRPr="00606974">
              <w:rPr>
                <w:lang w:val="ro-RO"/>
              </w:rPr>
              <w:t xml:space="preserve"> </w:t>
            </w:r>
            <w:r w:rsidR="00E92631" w:rsidRPr="00B62EB2">
              <w:rPr>
                <w:lang w:val="ro-RO"/>
              </w:rPr>
              <w:t>problema supradimensionării centralelor electrice</w:t>
            </w:r>
            <w:r w:rsidR="00247458" w:rsidRPr="00B62EB2">
              <w:rPr>
                <w:lang w:val="ro-RO"/>
              </w:rPr>
              <w:t>,</w:t>
            </w:r>
            <w:r w:rsidRPr="00606974">
              <w:rPr>
                <w:lang w:val="ro-RO"/>
              </w:rPr>
              <w:t xml:space="preserve"> la data de 10 ianuarie 2024, Guvernul a aprobat Hotărârea nr. 26 pentru modificarea Hotărârii Guvernului nr. 401/2021 privind aprobarea limitelor de capacitate, a cotelor maxime și a categoriilor de capacitate în domeniul energiei electrice din surse regenerabile, valabile până la 31 decembrie 2025. Prin această hotărâre, s-au stabilit cotele de capacitate și </w:t>
            </w:r>
            <w:r w:rsidRPr="00606974">
              <w:rPr>
                <w:lang w:val="ro-RO"/>
              </w:rPr>
              <w:lastRenderedPageBreak/>
              <w:t>plafoanele de capacitate individuală pentru implementarea mecanismului de facturare netă până la 31 decembrie 2025, conform anexei nr. 2.</w:t>
            </w:r>
            <w:r w:rsidRPr="00B62EB2">
              <w:rPr>
                <w:lang w:val="ro-RO"/>
              </w:rPr>
              <w:t xml:space="preserve"> </w:t>
            </w:r>
          </w:p>
          <w:p w14:paraId="046C09C3" w14:textId="77777777" w:rsidR="00DB5007" w:rsidRPr="00B62EB2" w:rsidRDefault="00DB5007" w:rsidP="003C7D40">
            <w:pPr>
              <w:pStyle w:val="NormalWeb"/>
              <w:spacing w:before="0" w:beforeAutospacing="0" w:after="0" w:afterAutospacing="0"/>
              <w:jc w:val="both"/>
              <w:rPr>
                <w:lang w:val="ro-RO"/>
              </w:rPr>
            </w:pPr>
          </w:p>
          <w:p w14:paraId="1DC94A03" w14:textId="369EC804" w:rsidR="003C7D40" w:rsidRPr="00B62EB2" w:rsidRDefault="00671708" w:rsidP="003C7D40">
            <w:pPr>
              <w:pStyle w:val="NormalWeb"/>
              <w:spacing w:before="0" w:beforeAutospacing="0" w:after="0" w:afterAutospacing="0"/>
              <w:jc w:val="both"/>
              <w:rPr>
                <w:lang w:val="ro-RO"/>
              </w:rPr>
            </w:pPr>
            <w:r w:rsidRPr="00B62EB2">
              <w:rPr>
                <w:lang w:val="ro-RO"/>
              </w:rPr>
              <w:t>Astfel</w:t>
            </w:r>
            <w:r w:rsidR="000700D7" w:rsidRPr="00B62EB2">
              <w:rPr>
                <w:lang w:val="ro-RO"/>
              </w:rPr>
              <w:t>,</w:t>
            </w:r>
            <w:r w:rsidRPr="00B62EB2">
              <w:rPr>
                <w:lang w:val="ro-RO"/>
              </w:rPr>
              <w:t xml:space="preserve"> anexa 2, </w:t>
            </w:r>
            <w:r w:rsidR="00BA0DCE" w:rsidRPr="00B62EB2">
              <w:rPr>
                <w:lang w:val="ro-RO"/>
              </w:rPr>
              <w:t xml:space="preserve">stabilește formula de calcul a plafonului individual de capacitate, care se determină individual pentru fiecare </w:t>
            </w:r>
            <w:r w:rsidR="003C7D40" w:rsidRPr="00B62EB2">
              <w:rPr>
                <w:lang w:val="ro-RO"/>
              </w:rPr>
              <w:t>beneficiar</w:t>
            </w:r>
            <w:r w:rsidR="007A250A" w:rsidRPr="00B62EB2">
              <w:rPr>
                <w:lang w:val="ro-RO"/>
              </w:rPr>
              <w:t xml:space="preserve"> potențial al mecanismului „facturare netă”</w:t>
            </w:r>
            <w:r w:rsidR="003C7D40" w:rsidRPr="00B62EB2">
              <w:rPr>
                <w:lang w:val="ro-RO"/>
              </w:rPr>
              <w:t xml:space="preserve">, care poate selecta </w:t>
            </w:r>
            <w:r w:rsidR="007A250A" w:rsidRPr="00B62EB2">
              <w:rPr>
                <w:lang w:val="ro-RO"/>
              </w:rPr>
              <w:t xml:space="preserve"> valoarea maximă </w:t>
            </w:r>
            <w:r w:rsidR="003C7D40" w:rsidRPr="00B62EB2">
              <w:rPr>
                <w:lang w:val="ro-RO"/>
              </w:rPr>
              <w:t>dintre</w:t>
            </w:r>
            <w:r w:rsidR="00BA0DCE" w:rsidRPr="00B62EB2">
              <w:rPr>
                <w:lang w:val="ro-RO"/>
              </w:rPr>
              <w:t xml:space="preserve"> consumul anual din ultimii 3 ani calendaristici </w:t>
            </w:r>
            <w:r w:rsidR="003C7D40" w:rsidRPr="00B62EB2">
              <w:rPr>
                <w:lang w:val="ro-RO"/>
              </w:rPr>
              <w:t xml:space="preserve">sau </w:t>
            </w:r>
            <w:r w:rsidR="00BA0DCE" w:rsidRPr="00B62EB2">
              <w:rPr>
                <w:lang w:val="ro-RO"/>
              </w:rPr>
              <w:t>produsul dintre puterea contractată a locului de consum și consumul mediu anual pentru 1  kW al consumatorilor din categoria din care face parte consumatorul final de energie electrică pentru care se calculează plafonul de capacitate individuală, determinat pentru zona de activitate a operatorului sistemului de distribuție la care este/urmează a fi conectat consumatorul final de energie electrică respectiv</w:t>
            </w:r>
            <w:r w:rsidR="003C7D40" w:rsidRPr="00B62EB2">
              <w:rPr>
                <w:lang w:val="ro-RO"/>
              </w:rPr>
              <w:t xml:space="preserve">. </w:t>
            </w:r>
          </w:p>
          <w:p w14:paraId="26C7998C" w14:textId="0F32CEFA" w:rsidR="00F9333C" w:rsidRPr="00B62EB2" w:rsidRDefault="00F9333C" w:rsidP="003C7D40">
            <w:pPr>
              <w:pStyle w:val="NormalWeb"/>
              <w:spacing w:before="0" w:beforeAutospacing="0" w:after="0" w:afterAutospacing="0"/>
              <w:jc w:val="both"/>
              <w:rPr>
                <w:lang w:val="ro-RO"/>
              </w:rPr>
            </w:pPr>
          </w:p>
          <w:p w14:paraId="04FBED04" w14:textId="6510FBBF" w:rsidR="00E750C8" w:rsidRPr="00B62EB2" w:rsidRDefault="00185E00" w:rsidP="003C7D40">
            <w:pPr>
              <w:pStyle w:val="NormalWeb"/>
              <w:spacing w:before="0" w:beforeAutospacing="0" w:after="0" w:afterAutospacing="0"/>
              <w:jc w:val="both"/>
              <w:rPr>
                <w:lang w:val="ro-RO"/>
              </w:rPr>
            </w:pPr>
            <w:r w:rsidRPr="00B62EB2">
              <w:rPr>
                <w:lang w:val="ro-RO"/>
              </w:rPr>
              <w:t>Astfel, după</w:t>
            </w:r>
            <w:r w:rsidR="00E750C8" w:rsidRPr="00B62EB2">
              <w:rPr>
                <w:lang w:val="ro-RO"/>
              </w:rPr>
              <w:t xml:space="preserve"> un an de la</w:t>
            </w:r>
            <w:r w:rsidRPr="00B62EB2">
              <w:rPr>
                <w:lang w:val="ro-RO"/>
              </w:rPr>
              <w:t xml:space="preserve"> aplicarea formul</w:t>
            </w:r>
            <w:r w:rsidR="005D034D" w:rsidRPr="00B62EB2">
              <w:rPr>
                <w:lang w:val="ro-RO"/>
              </w:rPr>
              <w:t>ei</w:t>
            </w:r>
            <w:r w:rsidRPr="00B62EB2">
              <w:rPr>
                <w:lang w:val="ro-RO"/>
              </w:rPr>
              <w:t xml:space="preserve"> de calcul</w:t>
            </w:r>
            <w:r w:rsidR="005D034D" w:rsidRPr="00B62EB2">
              <w:rPr>
                <w:lang w:val="ro-RO"/>
              </w:rPr>
              <w:t xml:space="preserve">, puterea medie instalată a centralelor fotovoltaice beneficiarilor mecanismului de „facturare netă” a scăzut comparativ cu puterea medie instalată a beneficiarilor mecanismului „contorizare netă” </w:t>
            </w:r>
            <w:r w:rsidR="00C15AF0" w:rsidRPr="00B62EB2">
              <w:rPr>
                <w:lang w:val="ro-RO"/>
              </w:rPr>
              <w:t xml:space="preserve">cu 42%  la persoane fizice și </w:t>
            </w:r>
            <w:r w:rsidR="00E750C8" w:rsidRPr="00B62EB2">
              <w:rPr>
                <w:lang w:val="ro-RO"/>
              </w:rPr>
              <w:t>12% la persoane juridice</w:t>
            </w:r>
            <w:r w:rsidR="005D034D" w:rsidRPr="00B62EB2">
              <w:rPr>
                <w:lang w:val="ro-RO"/>
              </w:rPr>
              <w:t>.</w:t>
            </w:r>
          </w:p>
          <w:p w14:paraId="38236E69" w14:textId="219DD0F5" w:rsidR="00185E00" w:rsidRPr="00B62EB2" w:rsidRDefault="00E750C8" w:rsidP="003C7D40">
            <w:pPr>
              <w:pStyle w:val="NormalWeb"/>
              <w:spacing w:before="0" w:beforeAutospacing="0" w:after="0" w:afterAutospacing="0"/>
              <w:jc w:val="both"/>
              <w:rPr>
                <w:lang w:val="ro-RO"/>
              </w:rPr>
            </w:pPr>
            <w:r w:rsidRPr="00B62EB2">
              <w:rPr>
                <w:lang w:val="ro-RO"/>
              </w:rPr>
              <w:t xml:space="preserve">În tabelele de mai jos este prezentată informația detaliată. </w:t>
            </w:r>
          </w:p>
          <w:p w14:paraId="5A8C7030" w14:textId="77777777" w:rsidR="005D034D" w:rsidRPr="00B62EB2" w:rsidRDefault="005D034D" w:rsidP="003C7D40">
            <w:pPr>
              <w:pStyle w:val="NormalWeb"/>
              <w:spacing w:before="0" w:beforeAutospacing="0" w:after="0" w:afterAutospacing="0"/>
              <w:jc w:val="both"/>
              <w:rPr>
                <w:lang w:val="ro-RO"/>
              </w:rPr>
            </w:pPr>
          </w:p>
          <w:p w14:paraId="6779BA66" w14:textId="250E4887" w:rsidR="00E750C8" w:rsidRPr="00B62EB2" w:rsidRDefault="00E750C8" w:rsidP="003C7D40">
            <w:pPr>
              <w:pStyle w:val="NormalWeb"/>
              <w:spacing w:before="0" w:beforeAutospacing="0" w:after="0" w:afterAutospacing="0"/>
              <w:jc w:val="both"/>
              <w:rPr>
                <w:lang w:val="ro-RO"/>
              </w:rPr>
            </w:pPr>
            <w:r w:rsidRPr="00B62EB2">
              <w:rPr>
                <w:lang w:val="ro-RO"/>
              </w:rPr>
              <w:t>Tabelul 1. Puterea instalată, numărul beneficiarilor și puterea medie un</w:t>
            </w:r>
            <w:r w:rsidR="007E0379" w:rsidRPr="00B62EB2">
              <w:rPr>
                <w:lang w:val="ro-RO"/>
              </w:rPr>
              <w:t>i</w:t>
            </w:r>
            <w:r w:rsidRPr="00B62EB2">
              <w:rPr>
                <w:lang w:val="ro-RO"/>
              </w:rPr>
              <w:t>tară a beneficiarilor mecanismului facturare netă.</w:t>
            </w:r>
          </w:p>
          <w:tbl>
            <w:tblPr>
              <w:tblW w:w="8964" w:type="dxa"/>
              <w:tblLayout w:type="fixed"/>
              <w:tblLook w:val="04A0" w:firstRow="1" w:lastRow="0" w:firstColumn="1" w:lastColumn="0" w:noHBand="0" w:noVBand="1"/>
            </w:tblPr>
            <w:tblGrid>
              <w:gridCol w:w="2188"/>
              <w:gridCol w:w="2432"/>
              <w:gridCol w:w="1912"/>
              <w:gridCol w:w="2432"/>
            </w:tblGrid>
            <w:tr w:rsidR="004206D1" w:rsidRPr="00B62EB2" w14:paraId="08CAAA03" w14:textId="77777777" w:rsidTr="00606974">
              <w:trPr>
                <w:trHeight w:val="661"/>
              </w:trPr>
              <w:tc>
                <w:tcPr>
                  <w:tcW w:w="2188" w:type="dxa"/>
                  <w:tcBorders>
                    <w:top w:val="single" w:sz="4" w:space="0" w:color="auto"/>
                    <w:left w:val="single" w:sz="4" w:space="0" w:color="auto"/>
                    <w:bottom w:val="single" w:sz="4" w:space="0" w:color="auto"/>
                    <w:right w:val="single" w:sz="4" w:space="0" w:color="auto"/>
                  </w:tcBorders>
                  <w:shd w:val="clear" w:color="auto" w:fill="auto"/>
                  <w:hideMark/>
                </w:tcPr>
                <w:p w14:paraId="084805CB" w14:textId="77777777" w:rsidR="00704131" w:rsidRPr="00606974" w:rsidRDefault="00704131" w:rsidP="00606974">
                  <w:pPr>
                    <w:widowControl/>
                    <w:autoSpaceDE/>
                    <w:autoSpaceDN/>
                    <w:jc w:val="center"/>
                    <w:rPr>
                      <w:b/>
                      <w:bCs/>
                      <w:color w:val="000000"/>
                      <w:lang w:eastAsia="zh-CN"/>
                    </w:rPr>
                  </w:pPr>
                  <w:r w:rsidRPr="00606974">
                    <w:rPr>
                      <w:b/>
                      <w:bCs/>
                      <w:color w:val="000000"/>
                      <w:lang w:eastAsia="zh-CN"/>
                    </w:rPr>
                    <w:t>Facturare netă</w:t>
                  </w:r>
                </w:p>
              </w:tc>
              <w:tc>
                <w:tcPr>
                  <w:tcW w:w="2432" w:type="dxa"/>
                  <w:tcBorders>
                    <w:top w:val="single" w:sz="4" w:space="0" w:color="auto"/>
                    <w:left w:val="nil"/>
                    <w:bottom w:val="single" w:sz="4" w:space="0" w:color="auto"/>
                    <w:right w:val="single" w:sz="4" w:space="0" w:color="auto"/>
                  </w:tcBorders>
                  <w:shd w:val="clear" w:color="auto" w:fill="auto"/>
                  <w:hideMark/>
                </w:tcPr>
                <w:p w14:paraId="4E12E86E" w14:textId="1899BAA6" w:rsidR="00704131" w:rsidRPr="00606974" w:rsidRDefault="00704131" w:rsidP="00606974">
                  <w:pPr>
                    <w:widowControl/>
                    <w:autoSpaceDE/>
                    <w:autoSpaceDN/>
                    <w:jc w:val="center"/>
                    <w:rPr>
                      <w:b/>
                      <w:bCs/>
                      <w:color w:val="000000"/>
                      <w:lang w:eastAsia="zh-CN"/>
                    </w:rPr>
                  </w:pPr>
                  <w:r w:rsidRPr="00606974">
                    <w:rPr>
                      <w:b/>
                      <w:bCs/>
                      <w:color w:val="000000"/>
                      <w:lang w:eastAsia="zh-CN"/>
                    </w:rPr>
                    <w:t>Puterea instalată (MW)</w:t>
                  </w:r>
                </w:p>
              </w:tc>
              <w:tc>
                <w:tcPr>
                  <w:tcW w:w="1912" w:type="dxa"/>
                  <w:tcBorders>
                    <w:top w:val="single" w:sz="4" w:space="0" w:color="auto"/>
                    <w:left w:val="nil"/>
                    <w:bottom w:val="single" w:sz="4" w:space="0" w:color="auto"/>
                    <w:right w:val="single" w:sz="4" w:space="0" w:color="auto"/>
                  </w:tcBorders>
                  <w:shd w:val="clear" w:color="auto" w:fill="auto"/>
                  <w:hideMark/>
                </w:tcPr>
                <w:p w14:paraId="466B99D4" w14:textId="77777777" w:rsidR="00704131" w:rsidRPr="00606974" w:rsidRDefault="00704131" w:rsidP="00606974">
                  <w:pPr>
                    <w:widowControl/>
                    <w:autoSpaceDE/>
                    <w:autoSpaceDN/>
                    <w:jc w:val="center"/>
                    <w:rPr>
                      <w:b/>
                      <w:bCs/>
                      <w:color w:val="000000"/>
                      <w:lang w:eastAsia="zh-CN"/>
                    </w:rPr>
                  </w:pPr>
                  <w:r w:rsidRPr="00606974">
                    <w:rPr>
                      <w:b/>
                      <w:bCs/>
                      <w:color w:val="000000"/>
                      <w:lang w:eastAsia="zh-CN"/>
                    </w:rPr>
                    <w:t>număr de beneficiari</w:t>
                  </w:r>
                </w:p>
              </w:tc>
              <w:tc>
                <w:tcPr>
                  <w:tcW w:w="2432" w:type="dxa"/>
                  <w:tcBorders>
                    <w:top w:val="single" w:sz="4" w:space="0" w:color="auto"/>
                    <w:left w:val="nil"/>
                    <w:bottom w:val="single" w:sz="4" w:space="0" w:color="auto"/>
                    <w:right w:val="single" w:sz="4" w:space="0" w:color="auto"/>
                  </w:tcBorders>
                  <w:shd w:val="clear" w:color="auto" w:fill="auto"/>
                  <w:hideMark/>
                </w:tcPr>
                <w:p w14:paraId="28F93A00" w14:textId="77777777" w:rsidR="00704131" w:rsidRPr="00606974" w:rsidRDefault="00704131" w:rsidP="00606974">
                  <w:pPr>
                    <w:widowControl/>
                    <w:autoSpaceDE/>
                    <w:autoSpaceDN/>
                    <w:jc w:val="center"/>
                    <w:rPr>
                      <w:b/>
                      <w:bCs/>
                      <w:color w:val="000000"/>
                      <w:lang w:eastAsia="zh-CN"/>
                    </w:rPr>
                  </w:pPr>
                  <w:r w:rsidRPr="00606974">
                    <w:rPr>
                      <w:b/>
                      <w:bCs/>
                      <w:color w:val="000000"/>
                      <w:lang w:eastAsia="zh-CN"/>
                    </w:rPr>
                    <w:t>Puterea instalată, unitară, medie (kW)</w:t>
                  </w:r>
                </w:p>
              </w:tc>
            </w:tr>
            <w:tr w:rsidR="004206D1" w:rsidRPr="00B62EB2" w14:paraId="336455DF" w14:textId="77777777" w:rsidTr="00606974">
              <w:trPr>
                <w:trHeight w:val="316"/>
              </w:trPr>
              <w:tc>
                <w:tcPr>
                  <w:tcW w:w="2188" w:type="dxa"/>
                  <w:tcBorders>
                    <w:top w:val="nil"/>
                    <w:left w:val="single" w:sz="4" w:space="0" w:color="auto"/>
                    <w:bottom w:val="single" w:sz="4" w:space="0" w:color="auto"/>
                    <w:right w:val="single" w:sz="4" w:space="0" w:color="auto"/>
                  </w:tcBorders>
                  <w:shd w:val="clear" w:color="auto" w:fill="auto"/>
                  <w:noWrap/>
                  <w:hideMark/>
                </w:tcPr>
                <w:p w14:paraId="46B9DDDB" w14:textId="5C9A306B" w:rsidR="00704131" w:rsidRPr="00606974" w:rsidRDefault="00704131" w:rsidP="00606974">
                  <w:pPr>
                    <w:widowControl/>
                    <w:autoSpaceDE/>
                    <w:autoSpaceDN/>
                    <w:jc w:val="center"/>
                    <w:rPr>
                      <w:color w:val="000000"/>
                      <w:lang w:eastAsia="zh-CN"/>
                    </w:rPr>
                  </w:pPr>
                  <w:r w:rsidRPr="00606974">
                    <w:rPr>
                      <w:color w:val="000000"/>
                      <w:lang w:eastAsia="zh-CN"/>
                    </w:rPr>
                    <w:t>Persoane fizice</w:t>
                  </w:r>
                </w:p>
              </w:tc>
              <w:tc>
                <w:tcPr>
                  <w:tcW w:w="2432" w:type="dxa"/>
                  <w:tcBorders>
                    <w:top w:val="nil"/>
                    <w:left w:val="nil"/>
                    <w:bottom w:val="single" w:sz="4" w:space="0" w:color="auto"/>
                    <w:right w:val="single" w:sz="4" w:space="0" w:color="auto"/>
                  </w:tcBorders>
                  <w:shd w:val="clear" w:color="auto" w:fill="auto"/>
                  <w:noWrap/>
                  <w:hideMark/>
                </w:tcPr>
                <w:p w14:paraId="63810794" w14:textId="62F600A3" w:rsidR="00704131" w:rsidRPr="00606974" w:rsidRDefault="0002580E" w:rsidP="00606974">
                  <w:pPr>
                    <w:widowControl/>
                    <w:autoSpaceDE/>
                    <w:autoSpaceDN/>
                    <w:jc w:val="center"/>
                    <w:rPr>
                      <w:color w:val="000000"/>
                      <w:lang w:eastAsia="zh-CN"/>
                    </w:rPr>
                  </w:pPr>
                  <w:r>
                    <w:rPr>
                      <w:color w:val="000000"/>
                      <w:lang w:eastAsia="zh-CN"/>
                    </w:rPr>
                    <w:t>6</w:t>
                  </w:r>
                  <w:r w:rsidR="00704131" w:rsidRPr="00606974">
                    <w:rPr>
                      <w:color w:val="000000"/>
                      <w:lang w:eastAsia="zh-CN"/>
                    </w:rPr>
                    <w:t>.</w:t>
                  </w:r>
                  <w:r>
                    <w:rPr>
                      <w:color w:val="000000"/>
                      <w:lang w:eastAsia="zh-CN"/>
                    </w:rPr>
                    <w:t>122</w:t>
                  </w:r>
                </w:p>
              </w:tc>
              <w:tc>
                <w:tcPr>
                  <w:tcW w:w="1912" w:type="dxa"/>
                  <w:tcBorders>
                    <w:top w:val="nil"/>
                    <w:left w:val="nil"/>
                    <w:bottom w:val="single" w:sz="4" w:space="0" w:color="auto"/>
                    <w:right w:val="single" w:sz="4" w:space="0" w:color="auto"/>
                  </w:tcBorders>
                  <w:shd w:val="clear" w:color="auto" w:fill="auto"/>
                  <w:noWrap/>
                  <w:hideMark/>
                </w:tcPr>
                <w:p w14:paraId="680C9D9E" w14:textId="52047EE6" w:rsidR="00704131" w:rsidRPr="00606974" w:rsidRDefault="0002580E" w:rsidP="00606974">
                  <w:pPr>
                    <w:widowControl/>
                    <w:autoSpaceDE/>
                    <w:autoSpaceDN/>
                    <w:jc w:val="center"/>
                    <w:rPr>
                      <w:color w:val="000000"/>
                      <w:lang w:eastAsia="zh-CN"/>
                    </w:rPr>
                  </w:pPr>
                  <w:r>
                    <w:rPr>
                      <w:color w:val="000000"/>
                      <w:lang w:eastAsia="zh-CN"/>
                    </w:rPr>
                    <w:t>1142</w:t>
                  </w:r>
                </w:p>
              </w:tc>
              <w:tc>
                <w:tcPr>
                  <w:tcW w:w="2432" w:type="dxa"/>
                  <w:tcBorders>
                    <w:top w:val="nil"/>
                    <w:left w:val="nil"/>
                    <w:bottom w:val="single" w:sz="4" w:space="0" w:color="auto"/>
                    <w:right w:val="single" w:sz="4" w:space="0" w:color="auto"/>
                  </w:tcBorders>
                  <w:shd w:val="clear" w:color="auto" w:fill="auto"/>
                  <w:noWrap/>
                  <w:hideMark/>
                </w:tcPr>
                <w:p w14:paraId="4707A2F8" w14:textId="77777777" w:rsidR="00704131" w:rsidRPr="00606974" w:rsidRDefault="00704131" w:rsidP="00606974">
                  <w:pPr>
                    <w:widowControl/>
                    <w:autoSpaceDE/>
                    <w:autoSpaceDN/>
                    <w:jc w:val="center"/>
                    <w:rPr>
                      <w:color w:val="000000"/>
                      <w:lang w:eastAsia="zh-CN"/>
                    </w:rPr>
                  </w:pPr>
                  <w:r w:rsidRPr="00606974">
                    <w:rPr>
                      <w:color w:val="000000"/>
                      <w:lang w:eastAsia="zh-CN"/>
                    </w:rPr>
                    <w:t>5.4</w:t>
                  </w:r>
                </w:p>
              </w:tc>
            </w:tr>
            <w:tr w:rsidR="004206D1" w:rsidRPr="00B62EB2" w14:paraId="3B13D282" w14:textId="77777777" w:rsidTr="00606974">
              <w:trPr>
                <w:trHeight w:val="316"/>
              </w:trPr>
              <w:tc>
                <w:tcPr>
                  <w:tcW w:w="2188" w:type="dxa"/>
                  <w:tcBorders>
                    <w:top w:val="nil"/>
                    <w:left w:val="single" w:sz="4" w:space="0" w:color="auto"/>
                    <w:bottom w:val="single" w:sz="4" w:space="0" w:color="auto"/>
                    <w:right w:val="single" w:sz="4" w:space="0" w:color="auto"/>
                  </w:tcBorders>
                  <w:shd w:val="clear" w:color="auto" w:fill="auto"/>
                  <w:noWrap/>
                  <w:hideMark/>
                </w:tcPr>
                <w:p w14:paraId="2F883E6F" w14:textId="77777777" w:rsidR="00704131" w:rsidRPr="00606974" w:rsidRDefault="00704131" w:rsidP="00606974">
                  <w:pPr>
                    <w:widowControl/>
                    <w:autoSpaceDE/>
                    <w:autoSpaceDN/>
                    <w:jc w:val="center"/>
                    <w:rPr>
                      <w:color w:val="000000"/>
                      <w:lang w:eastAsia="zh-CN"/>
                    </w:rPr>
                  </w:pPr>
                  <w:r w:rsidRPr="00606974">
                    <w:rPr>
                      <w:color w:val="000000"/>
                      <w:lang w:eastAsia="zh-CN"/>
                    </w:rPr>
                    <w:t>Persoane juridice</w:t>
                  </w:r>
                </w:p>
              </w:tc>
              <w:tc>
                <w:tcPr>
                  <w:tcW w:w="2432" w:type="dxa"/>
                  <w:tcBorders>
                    <w:top w:val="nil"/>
                    <w:left w:val="nil"/>
                    <w:bottom w:val="single" w:sz="4" w:space="0" w:color="auto"/>
                    <w:right w:val="single" w:sz="4" w:space="0" w:color="auto"/>
                  </w:tcBorders>
                  <w:shd w:val="clear" w:color="auto" w:fill="auto"/>
                  <w:noWrap/>
                  <w:hideMark/>
                </w:tcPr>
                <w:p w14:paraId="18D0077C" w14:textId="5C306248" w:rsidR="00704131" w:rsidRPr="00606974" w:rsidRDefault="0002580E" w:rsidP="00606974">
                  <w:pPr>
                    <w:widowControl/>
                    <w:autoSpaceDE/>
                    <w:autoSpaceDN/>
                    <w:jc w:val="center"/>
                    <w:rPr>
                      <w:color w:val="000000"/>
                      <w:lang w:eastAsia="zh-CN"/>
                    </w:rPr>
                  </w:pPr>
                  <w:r>
                    <w:rPr>
                      <w:color w:val="000000"/>
                      <w:lang w:eastAsia="zh-CN"/>
                    </w:rPr>
                    <w:t>31</w:t>
                  </w:r>
                  <w:r w:rsidR="00704131" w:rsidRPr="00606974">
                    <w:rPr>
                      <w:color w:val="000000"/>
                      <w:lang w:eastAsia="zh-CN"/>
                    </w:rPr>
                    <w:t>.</w:t>
                  </w:r>
                  <w:r>
                    <w:rPr>
                      <w:color w:val="000000"/>
                      <w:lang w:eastAsia="zh-CN"/>
                    </w:rPr>
                    <w:t>555</w:t>
                  </w:r>
                </w:p>
              </w:tc>
              <w:tc>
                <w:tcPr>
                  <w:tcW w:w="1912" w:type="dxa"/>
                  <w:tcBorders>
                    <w:top w:val="nil"/>
                    <w:left w:val="nil"/>
                    <w:bottom w:val="single" w:sz="4" w:space="0" w:color="auto"/>
                    <w:right w:val="single" w:sz="4" w:space="0" w:color="auto"/>
                  </w:tcBorders>
                  <w:shd w:val="clear" w:color="auto" w:fill="auto"/>
                  <w:noWrap/>
                  <w:hideMark/>
                </w:tcPr>
                <w:p w14:paraId="7FBBEDBE" w14:textId="6772C007" w:rsidR="00704131" w:rsidRPr="00606974" w:rsidRDefault="0002580E" w:rsidP="00606974">
                  <w:pPr>
                    <w:widowControl/>
                    <w:autoSpaceDE/>
                    <w:autoSpaceDN/>
                    <w:jc w:val="center"/>
                    <w:rPr>
                      <w:color w:val="000000"/>
                      <w:lang w:eastAsia="zh-CN"/>
                    </w:rPr>
                  </w:pPr>
                  <w:r>
                    <w:rPr>
                      <w:color w:val="000000"/>
                      <w:lang w:eastAsia="zh-CN"/>
                    </w:rPr>
                    <w:t>544</w:t>
                  </w:r>
                </w:p>
              </w:tc>
              <w:tc>
                <w:tcPr>
                  <w:tcW w:w="2432" w:type="dxa"/>
                  <w:tcBorders>
                    <w:top w:val="nil"/>
                    <w:left w:val="nil"/>
                    <w:bottom w:val="single" w:sz="4" w:space="0" w:color="auto"/>
                    <w:right w:val="single" w:sz="4" w:space="0" w:color="auto"/>
                  </w:tcBorders>
                  <w:shd w:val="clear" w:color="auto" w:fill="auto"/>
                  <w:noWrap/>
                  <w:hideMark/>
                </w:tcPr>
                <w:p w14:paraId="679CA016" w14:textId="77777777" w:rsidR="00704131" w:rsidRPr="00606974" w:rsidRDefault="00704131" w:rsidP="00606974">
                  <w:pPr>
                    <w:widowControl/>
                    <w:autoSpaceDE/>
                    <w:autoSpaceDN/>
                    <w:jc w:val="center"/>
                    <w:rPr>
                      <w:color w:val="000000"/>
                      <w:lang w:eastAsia="zh-CN"/>
                    </w:rPr>
                  </w:pPr>
                  <w:r w:rsidRPr="00606974">
                    <w:rPr>
                      <w:color w:val="000000"/>
                      <w:lang w:eastAsia="zh-CN"/>
                    </w:rPr>
                    <w:t>59.3</w:t>
                  </w:r>
                </w:p>
              </w:tc>
            </w:tr>
          </w:tbl>
          <w:p w14:paraId="0F34DE93" w14:textId="77777777" w:rsidR="00E750C8" w:rsidRPr="00B62EB2" w:rsidRDefault="00E750C8" w:rsidP="00E750C8">
            <w:pPr>
              <w:pStyle w:val="NormalWeb"/>
              <w:spacing w:before="0" w:beforeAutospacing="0" w:after="0" w:afterAutospacing="0"/>
              <w:jc w:val="both"/>
              <w:rPr>
                <w:lang w:val="ro-RO"/>
              </w:rPr>
            </w:pPr>
          </w:p>
          <w:p w14:paraId="59D09851" w14:textId="137264FC" w:rsidR="005D034D" w:rsidRPr="00B62EB2" w:rsidRDefault="00E750C8" w:rsidP="003C7D40">
            <w:pPr>
              <w:pStyle w:val="NormalWeb"/>
              <w:spacing w:before="0" w:beforeAutospacing="0" w:after="0" w:afterAutospacing="0"/>
              <w:jc w:val="both"/>
              <w:rPr>
                <w:lang w:val="ro-RO"/>
              </w:rPr>
            </w:pPr>
            <w:r w:rsidRPr="00B62EB2">
              <w:rPr>
                <w:lang w:val="ro-RO"/>
              </w:rPr>
              <w:t>Tabelul 2. Puterea instalată, numărul beneficiarilor și puterea medie un</w:t>
            </w:r>
            <w:r w:rsidR="00023624" w:rsidRPr="00B62EB2">
              <w:rPr>
                <w:lang w:val="ro-RO"/>
              </w:rPr>
              <w:t>i</w:t>
            </w:r>
            <w:r w:rsidRPr="00B62EB2">
              <w:rPr>
                <w:lang w:val="ro-RO"/>
              </w:rPr>
              <w:t>tară a beneficiarilor mecanismului contorizare netă.</w:t>
            </w:r>
          </w:p>
          <w:tbl>
            <w:tblPr>
              <w:tblW w:w="9003" w:type="dxa"/>
              <w:tblLayout w:type="fixed"/>
              <w:tblLook w:val="04A0" w:firstRow="1" w:lastRow="0" w:firstColumn="1" w:lastColumn="0" w:noHBand="0" w:noVBand="1"/>
            </w:tblPr>
            <w:tblGrid>
              <w:gridCol w:w="2250"/>
              <w:gridCol w:w="2251"/>
              <w:gridCol w:w="2251"/>
              <w:gridCol w:w="2251"/>
            </w:tblGrid>
            <w:tr w:rsidR="00C77882" w:rsidRPr="00B62EB2" w14:paraId="05C20810" w14:textId="77777777" w:rsidTr="00606974">
              <w:trPr>
                <w:trHeight w:val="358"/>
              </w:trPr>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60DDE56" w14:textId="77777777" w:rsidR="00704131" w:rsidRPr="00606974" w:rsidRDefault="00704131" w:rsidP="00606974">
                  <w:pPr>
                    <w:widowControl/>
                    <w:autoSpaceDE/>
                    <w:autoSpaceDN/>
                    <w:jc w:val="center"/>
                    <w:rPr>
                      <w:b/>
                      <w:bCs/>
                      <w:color w:val="000000"/>
                      <w:lang w:eastAsia="zh-CN"/>
                    </w:rPr>
                  </w:pPr>
                  <w:r w:rsidRPr="00606974">
                    <w:rPr>
                      <w:b/>
                      <w:bCs/>
                      <w:color w:val="000000"/>
                      <w:lang w:eastAsia="zh-CN"/>
                    </w:rPr>
                    <w:t>Contorizare netă</w:t>
                  </w:r>
                </w:p>
              </w:tc>
              <w:tc>
                <w:tcPr>
                  <w:tcW w:w="2251" w:type="dxa"/>
                  <w:tcBorders>
                    <w:top w:val="single" w:sz="4" w:space="0" w:color="auto"/>
                    <w:left w:val="nil"/>
                    <w:bottom w:val="single" w:sz="4" w:space="0" w:color="auto"/>
                    <w:right w:val="single" w:sz="4" w:space="0" w:color="auto"/>
                  </w:tcBorders>
                  <w:shd w:val="clear" w:color="auto" w:fill="auto"/>
                  <w:hideMark/>
                </w:tcPr>
                <w:p w14:paraId="1D17713F" w14:textId="4CD74EA8" w:rsidR="00704131" w:rsidRPr="00606974" w:rsidRDefault="00704131" w:rsidP="00606974">
                  <w:pPr>
                    <w:widowControl/>
                    <w:autoSpaceDE/>
                    <w:autoSpaceDN/>
                    <w:jc w:val="center"/>
                    <w:rPr>
                      <w:b/>
                      <w:bCs/>
                      <w:color w:val="000000"/>
                      <w:lang w:eastAsia="zh-CN"/>
                    </w:rPr>
                  </w:pPr>
                  <w:r w:rsidRPr="00606974">
                    <w:rPr>
                      <w:b/>
                      <w:bCs/>
                      <w:color w:val="000000"/>
                      <w:lang w:eastAsia="zh-CN"/>
                    </w:rPr>
                    <w:t>Puterea instalată (MW)</w:t>
                  </w:r>
                </w:p>
              </w:tc>
              <w:tc>
                <w:tcPr>
                  <w:tcW w:w="2251" w:type="dxa"/>
                  <w:tcBorders>
                    <w:top w:val="single" w:sz="4" w:space="0" w:color="auto"/>
                    <w:left w:val="nil"/>
                    <w:bottom w:val="single" w:sz="4" w:space="0" w:color="auto"/>
                    <w:right w:val="single" w:sz="4" w:space="0" w:color="auto"/>
                  </w:tcBorders>
                  <w:shd w:val="clear" w:color="auto" w:fill="auto"/>
                  <w:hideMark/>
                </w:tcPr>
                <w:p w14:paraId="276035DC" w14:textId="77777777" w:rsidR="00704131" w:rsidRPr="00606974" w:rsidRDefault="00704131" w:rsidP="00606974">
                  <w:pPr>
                    <w:widowControl/>
                    <w:autoSpaceDE/>
                    <w:autoSpaceDN/>
                    <w:jc w:val="center"/>
                    <w:rPr>
                      <w:b/>
                      <w:bCs/>
                      <w:color w:val="000000"/>
                      <w:lang w:eastAsia="zh-CN"/>
                    </w:rPr>
                  </w:pPr>
                  <w:r w:rsidRPr="00606974">
                    <w:rPr>
                      <w:b/>
                      <w:bCs/>
                      <w:color w:val="000000"/>
                      <w:lang w:eastAsia="zh-CN"/>
                    </w:rPr>
                    <w:t>număr de beneficiari</w:t>
                  </w:r>
                </w:p>
              </w:tc>
              <w:tc>
                <w:tcPr>
                  <w:tcW w:w="2251" w:type="dxa"/>
                  <w:tcBorders>
                    <w:top w:val="single" w:sz="4" w:space="0" w:color="auto"/>
                    <w:left w:val="nil"/>
                    <w:bottom w:val="single" w:sz="4" w:space="0" w:color="auto"/>
                    <w:right w:val="single" w:sz="4" w:space="0" w:color="auto"/>
                  </w:tcBorders>
                  <w:shd w:val="clear" w:color="auto" w:fill="auto"/>
                  <w:hideMark/>
                </w:tcPr>
                <w:p w14:paraId="30FF06B3" w14:textId="77777777" w:rsidR="00704131" w:rsidRPr="00606974" w:rsidRDefault="00704131" w:rsidP="00606974">
                  <w:pPr>
                    <w:widowControl/>
                    <w:autoSpaceDE/>
                    <w:autoSpaceDN/>
                    <w:jc w:val="center"/>
                    <w:rPr>
                      <w:b/>
                      <w:bCs/>
                      <w:color w:val="000000"/>
                      <w:lang w:eastAsia="zh-CN"/>
                    </w:rPr>
                  </w:pPr>
                  <w:r w:rsidRPr="00606974">
                    <w:rPr>
                      <w:b/>
                      <w:bCs/>
                      <w:color w:val="000000"/>
                      <w:lang w:eastAsia="zh-CN"/>
                    </w:rPr>
                    <w:t>Puterea instalată, unitară, medie (kW)</w:t>
                  </w:r>
                </w:p>
              </w:tc>
            </w:tr>
            <w:tr w:rsidR="00C77882" w:rsidRPr="00B62EB2" w14:paraId="576535E6" w14:textId="77777777" w:rsidTr="00C77882">
              <w:trPr>
                <w:trHeight w:val="335"/>
              </w:trPr>
              <w:tc>
                <w:tcPr>
                  <w:tcW w:w="2250" w:type="dxa"/>
                  <w:tcBorders>
                    <w:top w:val="nil"/>
                    <w:left w:val="single" w:sz="4" w:space="0" w:color="auto"/>
                    <w:bottom w:val="single" w:sz="4" w:space="0" w:color="auto"/>
                    <w:right w:val="single" w:sz="4" w:space="0" w:color="auto"/>
                  </w:tcBorders>
                  <w:shd w:val="clear" w:color="auto" w:fill="auto"/>
                  <w:noWrap/>
                  <w:hideMark/>
                </w:tcPr>
                <w:p w14:paraId="1328A696" w14:textId="7AF16901" w:rsidR="00704131" w:rsidRPr="00606974" w:rsidRDefault="00704131" w:rsidP="00606974">
                  <w:pPr>
                    <w:widowControl/>
                    <w:autoSpaceDE/>
                    <w:autoSpaceDN/>
                    <w:jc w:val="center"/>
                    <w:rPr>
                      <w:color w:val="000000"/>
                      <w:lang w:eastAsia="zh-CN"/>
                    </w:rPr>
                  </w:pPr>
                  <w:r w:rsidRPr="00606974">
                    <w:rPr>
                      <w:color w:val="000000"/>
                      <w:lang w:eastAsia="zh-CN"/>
                    </w:rPr>
                    <w:t>Persoane fizice</w:t>
                  </w:r>
                </w:p>
              </w:tc>
              <w:tc>
                <w:tcPr>
                  <w:tcW w:w="2251" w:type="dxa"/>
                  <w:tcBorders>
                    <w:top w:val="nil"/>
                    <w:left w:val="nil"/>
                    <w:bottom w:val="single" w:sz="4" w:space="0" w:color="auto"/>
                    <w:right w:val="single" w:sz="4" w:space="0" w:color="auto"/>
                  </w:tcBorders>
                  <w:shd w:val="clear" w:color="auto" w:fill="auto"/>
                  <w:noWrap/>
                  <w:hideMark/>
                </w:tcPr>
                <w:p w14:paraId="198B80C4" w14:textId="77777777" w:rsidR="00704131" w:rsidRPr="00606974" w:rsidRDefault="00704131" w:rsidP="00606974">
                  <w:pPr>
                    <w:widowControl/>
                    <w:autoSpaceDE/>
                    <w:autoSpaceDN/>
                    <w:jc w:val="center"/>
                    <w:rPr>
                      <w:color w:val="000000"/>
                      <w:lang w:eastAsia="zh-CN"/>
                    </w:rPr>
                  </w:pPr>
                  <w:r w:rsidRPr="00606974">
                    <w:rPr>
                      <w:color w:val="000000"/>
                      <w:lang w:eastAsia="zh-CN"/>
                    </w:rPr>
                    <w:t>36</w:t>
                  </w:r>
                </w:p>
              </w:tc>
              <w:tc>
                <w:tcPr>
                  <w:tcW w:w="2251" w:type="dxa"/>
                  <w:tcBorders>
                    <w:top w:val="nil"/>
                    <w:left w:val="nil"/>
                    <w:bottom w:val="single" w:sz="4" w:space="0" w:color="auto"/>
                    <w:right w:val="single" w:sz="4" w:space="0" w:color="auto"/>
                  </w:tcBorders>
                  <w:shd w:val="clear" w:color="auto" w:fill="auto"/>
                  <w:noWrap/>
                  <w:hideMark/>
                </w:tcPr>
                <w:p w14:paraId="17D7A27E" w14:textId="77777777" w:rsidR="00704131" w:rsidRPr="00606974" w:rsidRDefault="00704131" w:rsidP="00606974">
                  <w:pPr>
                    <w:widowControl/>
                    <w:autoSpaceDE/>
                    <w:autoSpaceDN/>
                    <w:jc w:val="center"/>
                    <w:rPr>
                      <w:color w:val="000000"/>
                      <w:lang w:eastAsia="zh-CN"/>
                    </w:rPr>
                  </w:pPr>
                  <w:r w:rsidRPr="00606974">
                    <w:rPr>
                      <w:color w:val="000000"/>
                      <w:lang w:eastAsia="zh-CN"/>
                    </w:rPr>
                    <w:t>3873</w:t>
                  </w:r>
                </w:p>
              </w:tc>
              <w:tc>
                <w:tcPr>
                  <w:tcW w:w="2251" w:type="dxa"/>
                  <w:tcBorders>
                    <w:top w:val="nil"/>
                    <w:left w:val="nil"/>
                    <w:bottom w:val="single" w:sz="4" w:space="0" w:color="auto"/>
                    <w:right w:val="single" w:sz="4" w:space="0" w:color="auto"/>
                  </w:tcBorders>
                  <w:shd w:val="clear" w:color="auto" w:fill="auto"/>
                  <w:noWrap/>
                  <w:hideMark/>
                </w:tcPr>
                <w:p w14:paraId="46817398" w14:textId="77777777" w:rsidR="00704131" w:rsidRPr="00606974" w:rsidRDefault="00704131" w:rsidP="00606974">
                  <w:pPr>
                    <w:widowControl/>
                    <w:autoSpaceDE/>
                    <w:autoSpaceDN/>
                    <w:jc w:val="center"/>
                    <w:rPr>
                      <w:color w:val="000000"/>
                      <w:lang w:eastAsia="zh-CN"/>
                    </w:rPr>
                  </w:pPr>
                  <w:r w:rsidRPr="00606974">
                    <w:rPr>
                      <w:color w:val="000000"/>
                      <w:lang w:eastAsia="zh-CN"/>
                    </w:rPr>
                    <w:t>9.3</w:t>
                  </w:r>
                </w:p>
              </w:tc>
            </w:tr>
            <w:tr w:rsidR="00C77882" w:rsidRPr="00B62EB2" w14:paraId="475FF4C7" w14:textId="77777777" w:rsidTr="00C77882">
              <w:trPr>
                <w:trHeight w:val="335"/>
              </w:trPr>
              <w:tc>
                <w:tcPr>
                  <w:tcW w:w="2250" w:type="dxa"/>
                  <w:tcBorders>
                    <w:top w:val="nil"/>
                    <w:left w:val="single" w:sz="4" w:space="0" w:color="auto"/>
                    <w:bottom w:val="single" w:sz="4" w:space="0" w:color="auto"/>
                    <w:right w:val="single" w:sz="4" w:space="0" w:color="auto"/>
                  </w:tcBorders>
                  <w:shd w:val="clear" w:color="auto" w:fill="auto"/>
                  <w:noWrap/>
                  <w:hideMark/>
                </w:tcPr>
                <w:p w14:paraId="7D4B23C7" w14:textId="77777777" w:rsidR="00704131" w:rsidRPr="00606974" w:rsidRDefault="00704131" w:rsidP="00606974">
                  <w:pPr>
                    <w:widowControl/>
                    <w:autoSpaceDE/>
                    <w:autoSpaceDN/>
                    <w:jc w:val="center"/>
                    <w:rPr>
                      <w:color w:val="000000"/>
                      <w:lang w:eastAsia="zh-CN"/>
                    </w:rPr>
                  </w:pPr>
                  <w:r w:rsidRPr="00606974">
                    <w:rPr>
                      <w:color w:val="000000"/>
                      <w:lang w:eastAsia="zh-CN"/>
                    </w:rPr>
                    <w:t>Persoane juridice</w:t>
                  </w:r>
                </w:p>
              </w:tc>
              <w:tc>
                <w:tcPr>
                  <w:tcW w:w="2251" w:type="dxa"/>
                  <w:tcBorders>
                    <w:top w:val="nil"/>
                    <w:left w:val="nil"/>
                    <w:bottom w:val="single" w:sz="4" w:space="0" w:color="auto"/>
                    <w:right w:val="single" w:sz="4" w:space="0" w:color="auto"/>
                  </w:tcBorders>
                  <w:shd w:val="clear" w:color="auto" w:fill="auto"/>
                  <w:noWrap/>
                  <w:hideMark/>
                </w:tcPr>
                <w:p w14:paraId="46A893AF" w14:textId="77777777" w:rsidR="00704131" w:rsidRPr="00606974" w:rsidRDefault="00704131" w:rsidP="00606974">
                  <w:pPr>
                    <w:widowControl/>
                    <w:autoSpaceDE/>
                    <w:autoSpaceDN/>
                    <w:jc w:val="center"/>
                    <w:rPr>
                      <w:color w:val="000000"/>
                      <w:lang w:eastAsia="zh-CN"/>
                    </w:rPr>
                  </w:pPr>
                  <w:r w:rsidRPr="00606974">
                    <w:rPr>
                      <w:color w:val="000000"/>
                      <w:lang w:eastAsia="zh-CN"/>
                    </w:rPr>
                    <w:t>79.3</w:t>
                  </w:r>
                </w:p>
              </w:tc>
              <w:tc>
                <w:tcPr>
                  <w:tcW w:w="2251" w:type="dxa"/>
                  <w:tcBorders>
                    <w:top w:val="nil"/>
                    <w:left w:val="nil"/>
                    <w:bottom w:val="single" w:sz="4" w:space="0" w:color="auto"/>
                    <w:right w:val="single" w:sz="4" w:space="0" w:color="auto"/>
                  </w:tcBorders>
                  <w:shd w:val="clear" w:color="auto" w:fill="auto"/>
                  <w:noWrap/>
                  <w:hideMark/>
                </w:tcPr>
                <w:p w14:paraId="4C368D4B" w14:textId="77777777" w:rsidR="00704131" w:rsidRPr="00606974" w:rsidRDefault="00704131" w:rsidP="00606974">
                  <w:pPr>
                    <w:widowControl/>
                    <w:autoSpaceDE/>
                    <w:autoSpaceDN/>
                    <w:jc w:val="center"/>
                    <w:rPr>
                      <w:color w:val="000000"/>
                      <w:lang w:eastAsia="zh-CN"/>
                    </w:rPr>
                  </w:pPr>
                  <w:r w:rsidRPr="00606974">
                    <w:rPr>
                      <w:color w:val="000000"/>
                      <w:lang w:eastAsia="zh-CN"/>
                    </w:rPr>
                    <w:t>1178</w:t>
                  </w:r>
                </w:p>
              </w:tc>
              <w:tc>
                <w:tcPr>
                  <w:tcW w:w="2251" w:type="dxa"/>
                  <w:tcBorders>
                    <w:top w:val="nil"/>
                    <w:left w:val="nil"/>
                    <w:bottom w:val="single" w:sz="4" w:space="0" w:color="auto"/>
                    <w:right w:val="single" w:sz="4" w:space="0" w:color="auto"/>
                  </w:tcBorders>
                  <w:shd w:val="clear" w:color="auto" w:fill="auto"/>
                  <w:noWrap/>
                  <w:hideMark/>
                </w:tcPr>
                <w:p w14:paraId="63D76596" w14:textId="77777777" w:rsidR="00704131" w:rsidRPr="00606974" w:rsidRDefault="00704131" w:rsidP="00606974">
                  <w:pPr>
                    <w:widowControl/>
                    <w:autoSpaceDE/>
                    <w:autoSpaceDN/>
                    <w:jc w:val="center"/>
                    <w:rPr>
                      <w:color w:val="000000"/>
                      <w:lang w:eastAsia="zh-CN"/>
                    </w:rPr>
                  </w:pPr>
                  <w:r w:rsidRPr="00606974">
                    <w:rPr>
                      <w:color w:val="000000"/>
                      <w:lang w:eastAsia="zh-CN"/>
                    </w:rPr>
                    <w:t>67.3</w:t>
                  </w:r>
                </w:p>
              </w:tc>
            </w:tr>
          </w:tbl>
          <w:p w14:paraId="18E7401A" w14:textId="77777777" w:rsidR="00185E00" w:rsidRPr="00B62EB2" w:rsidRDefault="00185E00" w:rsidP="003C7D40">
            <w:pPr>
              <w:pStyle w:val="NormalWeb"/>
              <w:spacing w:before="0" w:beforeAutospacing="0" w:after="0" w:afterAutospacing="0"/>
              <w:jc w:val="both"/>
              <w:rPr>
                <w:lang w:val="ro-RO"/>
              </w:rPr>
            </w:pPr>
          </w:p>
          <w:p w14:paraId="4EFF2A1A" w14:textId="13DEAF75" w:rsidR="00434D56" w:rsidRPr="00B62EB2" w:rsidRDefault="00FC6C31" w:rsidP="003C7D40">
            <w:pPr>
              <w:pStyle w:val="NormalWeb"/>
              <w:spacing w:before="0" w:beforeAutospacing="0" w:after="0" w:afterAutospacing="0"/>
              <w:jc w:val="both"/>
              <w:rPr>
                <w:lang w:val="ro-RO"/>
              </w:rPr>
            </w:pPr>
            <w:r w:rsidRPr="00B62EB2">
              <w:rPr>
                <w:lang w:val="ro-RO"/>
              </w:rPr>
              <w:t xml:space="preserve">Cu toate că </w:t>
            </w:r>
            <w:r w:rsidR="00722100" w:rsidRPr="00B62EB2">
              <w:rPr>
                <w:lang w:val="ro-RO"/>
              </w:rPr>
              <w:t xml:space="preserve">putere instalată medie a fost redusă, </w:t>
            </w:r>
            <w:r w:rsidR="00C77882" w:rsidRPr="00B62EB2">
              <w:rPr>
                <w:lang w:val="ro-RO"/>
              </w:rPr>
              <w:t xml:space="preserve">s-a </w:t>
            </w:r>
            <w:r w:rsidR="00722100" w:rsidRPr="00B62EB2">
              <w:rPr>
                <w:lang w:val="ro-RO"/>
              </w:rPr>
              <w:t xml:space="preserve">depistat că </w:t>
            </w:r>
            <w:r w:rsidR="00725827" w:rsidRPr="00B62EB2">
              <w:rPr>
                <w:lang w:val="ro-RO"/>
              </w:rPr>
              <w:t>consumatorii</w:t>
            </w:r>
            <w:r w:rsidR="00C77882" w:rsidRPr="00B62EB2">
              <w:rPr>
                <w:lang w:val="ro-RO"/>
              </w:rPr>
              <w:t xml:space="preserve"> cu scopul de a obține un plafon individual de capacitate mai mare</w:t>
            </w:r>
            <w:r w:rsidR="00575849" w:rsidRPr="00B62EB2">
              <w:rPr>
                <w:lang w:val="ro-RO"/>
              </w:rPr>
              <w:t xml:space="preserve"> (justificat de faptul că conform istoricului de consum</w:t>
            </w:r>
            <w:r w:rsidR="00371616" w:rsidRPr="00B62EB2">
              <w:rPr>
                <w:lang w:val="ro-RO"/>
              </w:rPr>
              <w:t>,</w:t>
            </w:r>
            <w:r w:rsidR="00575849" w:rsidRPr="00B62EB2">
              <w:rPr>
                <w:lang w:val="ro-RO"/>
              </w:rPr>
              <w:t xml:space="preserve"> plafonul  de capacitate individuală </w:t>
            </w:r>
            <w:r w:rsidR="00371616" w:rsidRPr="00B62EB2">
              <w:rPr>
                <w:lang w:val="ro-RO"/>
              </w:rPr>
              <w:t xml:space="preserve">este sub nivelul a 3 kW , fapt care face ineficientă investiția) </w:t>
            </w:r>
            <w:r w:rsidR="00C77882" w:rsidRPr="00B62EB2">
              <w:rPr>
                <w:lang w:val="ro-RO"/>
              </w:rPr>
              <w:t>solicită majorarea puterii contractate</w:t>
            </w:r>
            <w:r w:rsidR="00725827" w:rsidRPr="00B62EB2">
              <w:rPr>
                <w:lang w:val="ro-RO"/>
              </w:rPr>
              <w:t xml:space="preserve"> </w:t>
            </w:r>
            <w:r w:rsidR="000A77FA" w:rsidRPr="00B62EB2">
              <w:rPr>
                <w:lang w:val="ro-RO"/>
              </w:rPr>
              <w:t xml:space="preserve">și astfel aplică </w:t>
            </w:r>
            <w:r w:rsidR="00725827" w:rsidRPr="00B62EB2">
              <w:rPr>
                <w:lang w:val="ro-RO"/>
              </w:rPr>
              <w:t xml:space="preserve"> această parte a formulei </w:t>
            </w:r>
            <w:r w:rsidR="00725827" w:rsidRPr="00606974">
              <w:rPr>
                <w:i/>
                <w:iCs/>
                <w:lang w:val="ro-RO"/>
              </w:rPr>
              <w:t>„produsul dintre puterea contractată a locului de consum și consumul mediu anual pentru 1 kW al consumatorilor din categoria din care face parte”</w:t>
            </w:r>
            <w:r w:rsidR="009A2590" w:rsidRPr="00B62EB2">
              <w:rPr>
                <w:lang w:val="ro-RO"/>
              </w:rPr>
              <w:t xml:space="preserve"> care</w:t>
            </w:r>
            <w:r w:rsidR="008A5C43" w:rsidRPr="00B62EB2">
              <w:rPr>
                <w:lang w:val="ro-RO"/>
              </w:rPr>
              <w:t>,</w:t>
            </w:r>
            <w:r w:rsidR="009A2590" w:rsidRPr="00B62EB2">
              <w:rPr>
                <w:lang w:val="ro-RO"/>
              </w:rPr>
              <w:t xml:space="preserve"> </w:t>
            </w:r>
            <w:r w:rsidR="008A5C43" w:rsidRPr="00B62EB2">
              <w:rPr>
                <w:lang w:val="ro-RO"/>
              </w:rPr>
              <w:t>ținând cont de limitele tehnice a rețelelor de distribuție, duce la</w:t>
            </w:r>
            <w:r w:rsidR="00725827" w:rsidRPr="00B62EB2">
              <w:rPr>
                <w:lang w:val="ro-RO"/>
              </w:rPr>
              <w:t xml:space="preserve"> </w:t>
            </w:r>
            <w:r w:rsidR="008A5C43" w:rsidRPr="00B62EB2">
              <w:rPr>
                <w:lang w:val="ro-RO"/>
              </w:rPr>
              <w:t>îngrădirea artificială a accesului a</w:t>
            </w:r>
            <w:r w:rsidR="00972CCF" w:rsidRPr="00B62EB2">
              <w:rPr>
                <w:lang w:val="ro-RO"/>
              </w:rPr>
              <w:t xml:space="preserve"> a</w:t>
            </w:r>
            <w:r w:rsidR="008A5C43" w:rsidRPr="00B62EB2">
              <w:rPr>
                <w:lang w:val="ro-RO"/>
              </w:rPr>
              <w:t xml:space="preserve">ltor </w:t>
            </w:r>
            <w:r w:rsidR="00972CCF" w:rsidRPr="00B62EB2">
              <w:rPr>
                <w:lang w:val="ro-RO"/>
              </w:rPr>
              <w:t>doritori</w:t>
            </w:r>
            <w:r w:rsidR="00851C82" w:rsidRPr="00B62EB2">
              <w:rPr>
                <w:lang w:val="ro-RO"/>
              </w:rPr>
              <w:t>.</w:t>
            </w:r>
            <w:r w:rsidR="007F51BE" w:rsidRPr="00B62EB2">
              <w:rPr>
                <w:lang w:val="ro-RO"/>
              </w:rPr>
              <w:t xml:space="preserve"> </w:t>
            </w:r>
          </w:p>
          <w:p w14:paraId="1B08ABA8" w14:textId="0A1FD067" w:rsidR="00D2780E" w:rsidRPr="00B62EB2" w:rsidRDefault="00D2780E" w:rsidP="003C7D40">
            <w:pPr>
              <w:pStyle w:val="NormalWeb"/>
              <w:spacing w:before="0" w:beforeAutospacing="0" w:after="0" w:afterAutospacing="0"/>
              <w:jc w:val="both"/>
              <w:rPr>
                <w:lang w:val="ro-RO"/>
              </w:rPr>
            </w:pPr>
          </w:p>
          <w:p w14:paraId="472F6859" w14:textId="216E1D5F" w:rsidR="00372CF9" w:rsidRPr="00B62EB2" w:rsidRDefault="00D2780E" w:rsidP="003C7D40">
            <w:pPr>
              <w:pStyle w:val="NormalWeb"/>
              <w:spacing w:before="0" w:beforeAutospacing="0" w:after="0" w:afterAutospacing="0"/>
              <w:jc w:val="both"/>
              <w:rPr>
                <w:lang w:val="ro-RO"/>
              </w:rPr>
            </w:pPr>
            <w:r w:rsidRPr="00B62EB2">
              <w:rPr>
                <w:lang w:val="ro-RO"/>
              </w:rPr>
              <w:t>De asemenea aplicarea formulei de calcul prin utilizarea celei mai mari valori a istoricului de consum din ultimii 3 ani</w:t>
            </w:r>
            <w:r w:rsidR="00023624" w:rsidRPr="00B62EB2">
              <w:rPr>
                <w:lang w:val="ro-RO"/>
              </w:rPr>
              <w:t>,</w:t>
            </w:r>
            <w:r w:rsidRPr="00B62EB2">
              <w:rPr>
                <w:lang w:val="ro-RO"/>
              </w:rPr>
              <w:t xml:space="preserve"> a generat situații </w:t>
            </w:r>
            <w:r w:rsidR="00023624" w:rsidRPr="00B62EB2">
              <w:rPr>
                <w:lang w:val="ro-RO"/>
              </w:rPr>
              <w:t>când potențialilor beneficiari li se atribuia plafoane de capacitate individuale cu o putere de sub 3 k</w:t>
            </w:r>
            <w:r w:rsidR="002D51BD" w:rsidRPr="00B62EB2">
              <w:rPr>
                <w:lang w:val="ro-RO"/>
              </w:rPr>
              <w:t>W, instalarea căreia,  din punct de vedere economic, nu este rentabilă, având în vedere că costurile de proiectare și achiziție a echipamentelor comparate la economiile generate la factură</w:t>
            </w:r>
            <w:r w:rsidR="00372CF9" w:rsidRPr="00B62EB2">
              <w:rPr>
                <w:lang w:val="ro-RO"/>
              </w:rPr>
              <w:t xml:space="preserve"> nu permit recuperarea investițiilor într-o perioadă de cel mult 7 ani.</w:t>
            </w:r>
          </w:p>
          <w:p w14:paraId="44AC7752" w14:textId="417B9AD7" w:rsidR="002A656D" w:rsidRPr="00B62EB2" w:rsidRDefault="00EF30E9" w:rsidP="003C7D40">
            <w:pPr>
              <w:pStyle w:val="NormalWeb"/>
              <w:spacing w:before="0" w:beforeAutospacing="0" w:after="0" w:afterAutospacing="0"/>
              <w:jc w:val="both"/>
              <w:rPr>
                <w:lang w:val="ro-RO"/>
              </w:rPr>
            </w:pPr>
            <w:r w:rsidRPr="00B62EB2">
              <w:rPr>
                <w:lang w:val="ro-RO"/>
              </w:rPr>
              <w:t xml:space="preserve">O altă problematică identificată pe parcursul aplicării </w:t>
            </w:r>
            <w:r w:rsidR="00784A35" w:rsidRPr="00B62EB2">
              <w:rPr>
                <w:lang w:val="ro-RO"/>
              </w:rPr>
              <w:t xml:space="preserve">prevederilor Hotărârii Guvernului nr. 401/2021 este </w:t>
            </w:r>
            <w:r w:rsidR="00490630" w:rsidRPr="00B62EB2">
              <w:rPr>
                <w:lang w:val="ro-RO"/>
              </w:rPr>
              <w:t xml:space="preserve">utilizarea </w:t>
            </w:r>
            <w:r w:rsidR="00784A35" w:rsidRPr="00B62EB2">
              <w:rPr>
                <w:lang w:val="ro-RO"/>
              </w:rPr>
              <w:t xml:space="preserve">neproporțională a </w:t>
            </w:r>
            <w:r w:rsidR="00490630" w:rsidRPr="00B62EB2">
              <w:rPr>
                <w:lang w:val="ro-RO"/>
              </w:rPr>
              <w:t>cotelor de capacitate alocate</w:t>
            </w:r>
            <w:r w:rsidR="00A8001B" w:rsidRPr="00B62EB2">
              <w:rPr>
                <w:lang w:val="ro-RO"/>
              </w:rPr>
              <w:t xml:space="preserve"> categoriilor de consumatori</w:t>
            </w:r>
            <w:r w:rsidR="002A656D" w:rsidRPr="00B62EB2">
              <w:rPr>
                <w:lang w:val="ro-RO"/>
              </w:rPr>
              <w:t xml:space="preserve">,  consumatori casnici, persoane juridice – instituții bugetare și persoane juridice -companii private. </w:t>
            </w:r>
          </w:p>
          <w:p w14:paraId="24141D3F" w14:textId="4B802D80" w:rsidR="00AD3F04" w:rsidRPr="00B62EB2" w:rsidRDefault="00371616" w:rsidP="007E22B7">
            <w:pPr>
              <w:pStyle w:val="TableParagraph"/>
              <w:spacing w:before="20"/>
              <w:ind w:left="0"/>
              <w:rPr>
                <w:bCs/>
                <w:sz w:val="24"/>
              </w:rPr>
            </w:pPr>
            <w:r w:rsidRPr="00B62EB2">
              <w:rPr>
                <w:bCs/>
                <w:sz w:val="24"/>
              </w:rPr>
              <w:t>Acest lucru este prezentat și în ta</w:t>
            </w:r>
            <w:r w:rsidR="002A656D" w:rsidRPr="00B62EB2">
              <w:rPr>
                <w:bCs/>
                <w:sz w:val="24"/>
              </w:rPr>
              <w:t>b</w:t>
            </w:r>
            <w:r w:rsidRPr="00B62EB2">
              <w:rPr>
                <w:bCs/>
                <w:sz w:val="24"/>
              </w:rPr>
              <w:t xml:space="preserve">elul nr. 3 care descrie situația la data de 31.01.2025, </w:t>
            </w:r>
            <w:r w:rsidR="00655600" w:rsidRPr="00B62EB2">
              <w:rPr>
                <w:bCs/>
                <w:sz w:val="24"/>
              </w:rPr>
              <w:t>privind avizele de racordare eliberate pentru prosumatori în comparație cu cotele de capacitate alocate.</w:t>
            </w:r>
          </w:p>
          <w:p w14:paraId="31070B85" w14:textId="77777777" w:rsidR="007E0379" w:rsidRPr="00B62EB2" w:rsidRDefault="007E0379" w:rsidP="00776979">
            <w:pPr>
              <w:pStyle w:val="TableParagraph"/>
              <w:spacing w:before="20"/>
              <w:rPr>
                <w:bCs/>
                <w:sz w:val="24"/>
              </w:rPr>
            </w:pPr>
          </w:p>
          <w:p w14:paraId="3B32219A" w14:textId="30830CDF" w:rsidR="00655600" w:rsidRPr="00B62EB2" w:rsidRDefault="00655600" w:rsidP="00776979">
            <w:pPr>
              <w:pStyle w:val="TableParagraph"/>
              <w:spacing w:before="20"/>
              <w:rPr>
                <w:bCs/>
                <w:sz w:val="24"/>
              </w:rPr>
            </w:pPr>
            <w:r w:rsidRPr="00B62EB2">
              <w:rPr>
                <w:bCs/>
                <w:sz w:val="24"/>
              </w:rPr>
              <w:t>Tabelul 3. Avize de racordare eliberate pentru prosumatorii de energie și contractele semnate cu furnizorii (</w:t>
            </w:r>
            <w:r w:rsidR="0002580E">
              <w:rPr>
                <w:bCs/>
                <w:sz w:val="24"/>
              </w:rPr>
              <w:t>31</w:t>
            </w:r>
            <w:r w:rsidR="00BE0B54" w:rsidRPr="00B62EB2">
              <w:rPr>
                <w:bCs/>
                <w:sz w:val="24"/>
              </w:rPr>
              <w:t>.0</w:t>
            </w:r>
            <w:r w:rsidR="0002580E">
              <w:rPr>
                <w:bCs/>
                <w:sz w:val="24"/>
              </w:rPr>
              <w:t>3</w:t>
            </w:r>
            <w:r w:rsidR="00BE0B54" w:rsidRPr="00B62EB2">
              <w:rPr>
                <w:bCs/>
                <w:sz w:val="24"/>
              </w:rPr>
              <w:t>.2025)</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02"/>
              <w:gridCol w:w="980"/>
              <w:gridCol w:w="1204"/>
              <w:gridCol w:w="1584"/>
              <w:gridCol w:w="1096"/>
              <w:gridCol w:w="1560"/>
            </w:tblGrid>
            <w:tr w:rsidR="001378CD" w:rsidRPr="00B62EB2" w14:paraId="78E709F9" w14:textId="0EB0A1D5" w:rsidTr="005857FC">
              <w:trPr>
                <w:trHeight w:val="528"/>
                <w:tblHeader/>
                <w:jc w:val="center"/>
              </w:trPr>
              <w:tc>
                <w:tcPr>
                  <w:tcW w:w="3202" w:type="dxa"/>
                  <w:vMerge w:val="restart"/>
                  <w:tcMar>
                    <w:top w:w="15" w:type="dxa"/>
                    <w:left w:w="0" w:type="dxa"/>
                    <w:bottom w:w="15" w:type="dxa"/>
                    <w:right w:w="15" w:type="dxa"/>
                  </w:tcMar>
                  <w:vAlign w:val="center"/>
                  <w:hideMark/>
                </w:tcPr>
                <w:p w14:paraId="0836F4C2" w14:textId="77777777" w:rsidR="001378CD" w:rsidRPr="00606974" w:rsidRDefault="001378CD" w:rsidP="00AD3F04">
                  <w:pPr>
                    <w:pStyle w:val="TableParagraph"/>
                    <w:spacing w:before="20"/>
                    <w:rPr>
                      <w:b/>
                      <w:bCs/>
                      <w:szCs w:val="20"/>
                    </w:rPr>
                  </w:pPr>
                  <w:r w:rsidRPr="00606974">
                    <w:rPr>
                      <w:b/>
                      <w:bCs/>
                      <w:szCs w:val="20"/>
                    </w:rPr>
                    <w:t>Categorie</w:t>
                  </w:r>
                </w:p>
              </w:tc>
              <w:tc>
                <w:tcPr>
                  <w:tcW w:w="980" w:type="dxa"/>
                  <w:vMerge w:val="restart"/>
                  <w:vAlign w:val="center"/>
                  <w:hideMark/>
                </w:tcPr>
                <w:p w14:paraId="3F585D71" w14:textId="77777777" w:rsidR="001378CD" w:rsidRPr="00606974" w:rsidRDefault="001378CD" w:rsidP="00606974">
                  <w:pPr>
                    <w:pStyle w:val="TableParagraph"/>
                    <w:spacing w:before="20"/>
                    <w:jc w:val="center"/>
                    <w:rPr>
                      <w:b/>
                      <w:bCs/>
                      <w:szCs w:val="20"/>
                    </w:rPr>
                  </w:pPr>
                  <w:r w:rsidRPr="00606974">
                    <w:rPr>
                      <w:b/>
                      <w:bCs/>
                      <w:szCs w:val="20"/>
                    </w:rPr>
                    <w:t>Cota de capacitate (MW)</w:t>
                  </w:r>
                </w:p>
              </w:tc>
              <w:tc>
                <w:tcPr>
                  <w:tcW w:w="2788" w:type="dxa"/>
                  <w:gridSpan w:val="2"/>
                  <w:vAlign w:val="center"/>
                  <w:hideMark/>
                </w:tcPr>
                <w:p w14:paraId="7D919032" w14:textId="77777777" w:rsidR="001378CD" w:rsidRDefault="001378CD" w:rsidP="00606974">
                  <w:pPr>
                    <w:pStyle w:val="TableParagraph"/>
                    <w:spacing w:before="20"/>
                    <w:jc w:val="center"/>
                    <w:rPr>
                      <w:b/>
                      <w:bCs/>
                      <w:szCs w:val="20"/>
                    </w:rPr>
                  </w:pPr>
                  <w:r w:rsidRPr="00606974">
                    <w:rPr>
                      <w:b/>
                      <w:bCs/>
                      <w:szCs w:val="20"/>
                    </w:rPr>
                    <w:t>Avize noi eliberate (</w:t>
                  </w:r>
                  <w:r>
                    <w:rPr>
                      <w:b/>
                      <w:bCs/>
                      <w:szCs w:val="20"/>
                    </w:rPr>
                    <w:t>%</w:t>
                  </w:r>
                  <w:r w:rsidRPr="00606974">
                    <w:rPr>
                      <w:b/>
                      <w:bCs/>
                      <w:szCs w:val="20"/>
                    </w:rPr>
                    <w:t>)</w:t>
                  </w:r>
                </w:p>
                <w:p w14:paraId="3995CDB6" w14:textId="79D38847" w:rsidR="001378CD" w:rsidRPr="00606974" w:rsidRDefault="001378CD" w:rsidP="00606974">
                  <w:pPr>
                    <w:pStyle w:val="TableParagraph"/>
                    <w:spacing w:before="20"/>
                    <w:jc w:val="center"/>
                    <w:rPr>
                      <w:b/>
                      <w:bCs/>
                      <w:szCs w:val="20"/>
                    </w:rPr>
                  </w:pPr>
                  <w:r>
                    <w:rPr>
                      <w:b/>
                      <w:bCs/>
                      <w:szCs w:val="20"/>
                    </w:rPr>
                    <w:t>(Date OSD)</w:t>
                  </w:r>
                </w:p>
              </w:tc>
              <w:tc>
                <w:tcPr>
                  <w:tcW w:w="2656" w:type="dxa"/>
                  <w:gridSpan w:val="2"/>
                  <w:vAlign w:val="center"/>
                  <w:hideMark/>
                </w:tcPr>
                <w:p w14:paraId="18889801" w14:textId="78241878" w:rsidR="001378CD" w:rsidRDefault="001378CD" w:rsidP="0002580E">
                  <w:pPr>
                    <w:pStyle w:val="TableParagraph"/>
                    <w:spacing w:before="20"/>
                    <w:jc w:val="center"/>
                    <w:rPr>
                      <w:b/>
                      <w:bCs/>
                      <w:szCs w:val="20"/>
                    </w:rPr>
                  </w:pPr>
                  <w:r w:rsidRPr="00606974">
                    <w:rPr>
                      <w:b/>
                      <w:bCs/>
                      <w:szCs w:val="20"/>
                    </w:rPr>
                    <w:t>Contracte semnate</w:t>
                  </w:r>
                </w:p>
                <w:p w14:paraId="293D28AB" w14:textId="7603CF8F" w:rsidR="001378CD" w:rsidRPr="00606974" w:rsidRDefault="001378CD" w:rsidP="0002580E">
                  <w:pPr>
                    <w:pStyle w:val="TableParagraph"/>
                    <w:spacing w:before="20"/>
                    <w:jc w:val="center"/>
                    <w:rPr>
                      <w:b/>
                      <w:bCs/>
                      <w:szCs w:val="20"/>
                    </w:rPr>
                  </w:pPr>
                  <w:r>
                    <w:rPr>
                      <w:b/>
                      <w:bCs/>
                      <w:szCs w:val="20"/>
                    </w:rPr>
                    <w:t>(date Furnizori)</w:t>
                  </w:r>
                </w:p>
              </w:tc>
            </w:tr>
            <w:tr w:rsidR="00964345" w:rsidRPr="00B62EB2" w14:paraId="3D914E28" w14:textId="77777777" w:rsidTr="004E65EF">
              <w:trPr>
                <w:tblHeader/>
                <w:jc w:val="center"/>
              </w:trPr>
              <w:tc>
                <w:tcPr>
                  <w:tcW w:w="3202" w:type="dxa"/>
                  <w:vMerge/>
                  <w:tcMar>
                    <w:top w:w="15" w:type="dxa"/>
                    <w:left w:w="0" w:type="dxa"/>
                    <w:bottom w:w="15" w:type="dxa"/>
                    <w:right w:w="15" w:type="dxa"/>
                  </w:tcMar>
                  <w:vAlign w:val="center"/>
                </w:tcPr>
                <w:p w14:paraId="27A52FD6" w14:textId="77777777" w:rsidR="00964345" w:rsidRPr="00606974" w:rsidRDefault="00964345" w:rsidP="00AD3F04">
                  <w:pPr>
                    <w:pStyle w:val="TableParagraph"/>
                    <w:spacing w:before="20"/>
                    <w:rPr>
                      <w:b/>
                      <w:bCs/>
                      <w:szCs w:val="20"/>
                    </w:rPr>
                  </w:pPr>
                </w:p>
              </w:tc>
              <w:tc>
                <w:tcPr>
                  <w:tcW w:w="980" w:type="dxa"/>
                  <w:vMerge/>
                  <w:vAlign w:val="center"/>
                </w:tcPr>
                <w:p w14:paraId="0728FB37" w14:textId="77777777" w:rsidR="00964345" w:rsidRPr="00606974" w:rsidRDefault="00964345" w:rsidP="00606974">
                  <w:pPr>
                    <w:pStyle w:val="TableParagraph"/>
                    <w:spacing w:before="20"/>
                    <w:jc w:val="center"/>
                    <w:rPr>
                      <w:b/>
                      <w:bCs/>
                      <w:szCs w:val="20"/>
                    </w:rPr>
                  </w:pPr>
                </w:p>
              </w:tc>
              <w:tc>
                <w:tcPr>
                  <w:tcW w:w="1204" w:type="dxa"/>
                  <w:vAlign w:val="center"/>
                </w:tcPr>
                <w:p w14:paraId="4A3A119F" w14:textId="7185A9FE" w:rsidR="00964345" w:rsidRPr="00606974" w:rsidRDefault="001378CD" w:rsidP="00606974">
                  <w:pPr>
                    <w:pStyle w:val="TableParagraph"/>
                    <w:spacing w:before="20"/>
                    <w:jc w:val="center"/>
                    <w:rPr>
                      <w:b/>
                      <w:bCs/>
                      <w:szCs w:val="20"/>
                    </w:rPr>
                  </w:pPr>
                  <w:r>
                    <w:rPr>
                      <w:b/>
                      <w:bCs/>
                      <w:szCs w:val="20"/>
                    </w:rPr>
                    <w:t>MW</w:t>
                  </w:r>
                </w:p>
              </w:tc>
              <w:tc>
                <w:tcPr>
                  <w:tcW w:w="1584" w:type="dxa"/>
                  <w:vAlign w:val="center"/>
                </w:tcPr>
                <w:p w14:paraId="30C2D3C9" w14:textId="2DFD828A" w:rsidR="00964345" w:rsidRPr="00606974" w:rsidRDefault="001378CD" w:rsidP="00606974">
                  <w:pPr>
                    <w:pStyle w:val="TableParagraph"/>
                    <w:spacing w:before="20"/>
                    <w:jc w:val="center"/>
                    <w:rPr>
                      <w:b/>
                      <w:bCs/>
                      <w:szCs w:val="20"/>
                    </w:rPr>
                  </w:pPr>
                  <w:r>
                    <w:rPr>
                      <w:b/>
                      <w:bCs/>
                      <w:szCs w:val="20"/>
                    </w:rPr>
                    <w:t>%</w:t>
                  </w:r>
                </w:p>
              </w:tc>
              <w:tc>
                <w:tcPr>
                  <w:tcW w:w="1096" w:type="dxa"/>
                  <w:vAlign w:val="center"/>
                </w:tcPr>
                <w:p w14:paraId="3D438363" w14:textId="60BD758A" w:rsidR="00964345" w:rsidRPr="00606974" w:rsidRDefault="00964345" w:rsidP="00606974">
                  <w:pPr>
                    <w:pStyle w:val="TableParagraph"/>
                    <w:spacing w:before="20"/>
                    <w:jc w:val="center"/>
                    <w:rPr>
                      <w:b/>
                      <w:bCs/>
                      <w:szCs w:val="20"/>
                    </w:rPr>
                  </w:pPr>
                  <w:r>
                    <w:rPr>
                      <w:b/>
                      <w:bCs/>
                      <w:szCs w:val="20"/>
                    </w:rPr>
                    <w:t>MW</w:t>
                  </w:r>
                </w:p>
              </w:tc>
              <w:tc>
                <w:tcPr>
                  <w:tcW w:w="1560" w:type="dxa"/>
                </w:tcPr>
                <w:p w14:paraId="62143DBC" w14:textId="58AD04D7" w:rsidR="00964345" w:rsidRPr="00606974" w:rsidRDefault="00964345" w:rsidP="004E65EF">
                  <w:pPr>
                    <w:pStyle w:val="TableParagraph"/>
                    <w:tabs>
                      <w:tab w:val="left" w:pos="465"/>
                    </w:tabs>
                    <w:spacing w:before="20"/>
                    <w:jc w:val="center"/>
                    <w:rPr>
                      <w:b/>
                      <w:bCs/>
                      <w:szCs w:val="20"/>
                    </w:rPr>
                  </w:pPr>
                  <w:r>
                    <w:rPr>
                      <w:b/>
                      <w:bCs/>
                      <w:szCs w:val="20"/>
                    </w:rPr>
                    <w:t>%</w:t>
                  </w:r>
                </w:p>
              </w:tc>
            </w:tr>
            <w:tr w:rsidR="00964345" w:rsidRPr="00B62EB2" w14:paraId="1E14AE1B" w14:textId="2A4DFC1E" w:rsidTr="004E65EF">
              <w:trPr>
                <w:tblHeader/>
                <w:jc w:val="center"/>
              </w:trPr>
              <w:tc>
                <w:tcPr>
                  <w:tcW w:w="3202" w:type="dxa"/>
                  <w:tcMar>
                    <w:top w:w="15" w:type="dxa"/>
                    <w:left w:w="0" w:type="dxa"/>
                    <w:bottom w:w="15" w:type="dxa"/>
                    <w:right w:w="15" w:type="dxa"/>
                  </w:tcMar>
                  <w:vAlign w:val="center"/>
                </w:tcPr>
                <w:p w14:paraId="7BAF8A74" w14:textId="34E9C9A1" w:rsidR="00964345" w:rsidRPr="00606974" w:rsidRDefault="00964345" w:rsidP="002E6174">
                  <w:pPr>
                    <w:pStyle w:val="TableParagraph"/>
                    <w:spacing w:before="20"/>
                    <w:rPr>
                      <w:b/>
                      <w:bCs/>
                      <w:szCs w:val="20"/>
                    </w:rPr>
                  </w:pPr>
                  <w:r w:rsidRPr="00606974">
                    <w:rPr>
                      <w:b/>
                      <w:bCs/>
                      <w:szCs w:val="20"/>
                    </w:rPr>
                    <w:t>Instalații PV (fotovoltaice) ce urmează a fi oferite pentru implementarea mecanismului de facturare netă, din care:</w:t>
                  </w:r>
                </w:p>
              </w:tc>
              <w:tc>
                <w:tcPr>
                  <w:tcW w:w="980" w:type="dxa"/>
                  <w:vAlign w:val="center"/>
                </w:tcPr>
                <w:p w14:paraId="185F8206" w14:textId="333D82BA" w:rsidR="00964345" w:rsidRPr="00606974" w:rsidRDefault="00964345" w:rsidP="002E6174">
                  <w:pPr>
                    <w:pStyle w:val="TableParagraph"/>
                    <w:spacing w:before="20"/>
                    <w:jc w:val="center"/>
                    <w:rPr>
                      <w:b/>
                      <w:bCs/>
                      <w:szCs w:val="20"/>
                    </w:rPr>
                  </w:pPr>
                  <w:r w:rsidRPr="00606974">
                    <w:rPr>
                      <w:b/>
                      <w:bCs/>
                      <w:szCs w:val="20"/>
                    </w:rPr>
                    <w:t>100</w:t>
                  </w:r>
                </w:p>
              </w:tc>
              <w:tc>
                <w:tcPr>
                  <w:tcW w:w="1204" w:type="dxa"/>
                  <w:vAlign w:val="center"/>
                </w:tcPr>
                <w:p w14:paraId="230BD9A7" w14:textId="77777777" w:rsidR="00964345" w:rsidRPr="00606974" w:rsidRDefault="00964345" w:rsidP="002E6174">
                  <w:pPr>
                    <w:pStyle w:val="TableParagraph"/>
                    <w:spacing w:before="20"/>
                    <w:jc w:val="center"/>
                    <w:rPr>
                      <w:b/>
                      <w:bCs/>
                      <w:szCs w:val="20"/>
                    </w:rPr>
                  </w:pPr>
                </w:p>
              </w:tc>
              <w:tc>
                <w:tcPr>
                  <w:tcW w:w="1584" w:type="dxa"/>
                  <w:vAlign w:val="center"/>
                </w:tcPr>
                <w:p w14:paraId="18A99B5C" w14:textId="77777777" w:rsidR="00964345" w:rsidRPr="00606974" w:rsidRDefault="00964345" w:rsidP="002E6174">
                  <w:pPr>
                    <w:pStyle w:val="TableParagraph"/>
                    <w:spacing w:before="20"/>
                    <w:jc w:val="center"/>
                    <w:rPr>
                      <w:b/>
                      <w:bCs/>
                      <w:szCs w:val="20"/>
                    </w:rPr>
                  </w:pPr>
                </w:p>
              </w:tc>
              <w:tc>
                <w:tcPr>
                  <w:tcW w:w="1096" w:type="dxa"/>
                  <w:vAlign w:val="center"/>
                </w:tcPr>
                <w:p w14:paraId="3DB9DB09" w14:textId="77777777" w:rsidR="00964345" w:rsidRPr="00606974" w:rsidRDefault="00964345" w:rsidP="002E6174">
                  <w:pPr>
                    <w:pStyle w:val="TableParagraph"/>
                    <w:spacing w:before="20"/>
                    <w:jc w:val="center"/>
                    <w:rPr>
                      <w:b/>
                      <w:bCs/>
                      <w:szCs w:val="20"/>
                    </w:rPr>
                  </w:pPr>
                </w:p>
              </w:tc>
              <w:tc>
                <w:tcPr>
                  <w:tcW w:w="1560" w:type="dxa"/>
                </w:tcPr>
                <w:p w14:paraId="0CCDD621" w14:textId="77777777" w:rsidR="00964345" w:rsidRPr="00606974" w:rsidRDefault="00964345" w:rsidP="002E6174">
                  <w:pPr>
                    <w:pStyle w:val="TableParagraph"/>
                    <w:spacing w:before="20"/>
                    <w:jc w:val="center"/>
                    <w:rPr>
                      <w:b/>
                      <w:bCs/>
                      <w:szCs w:val="20"/>
                    </w:rPr>
                  </w:pPr>
                </w:p>
              </w:tc>
            </w:tr>
            <w:tr w:rsidR="00964345" w:rsidRPr="00B62EB2" w14:paraId="3234F916" w14:textId="4F9C718D" w:rsidTr="001378CD">
              <w:trPr>
                <w:jc w:val="center"/>
              </w:trPr>
              <w:tc>
                <w:tcPr>
                  <w:tcW w:w="3202" w:type="dxa"/>
                  <w:tcMar>
                    <w:top w:w="15" w:type="dxa"/>
                    <w:left w:w="0" w:type="dxa"/>
                    <w:bottom w:w="15" w:type="dxa"/>
                    <w:right w:w="15" w:type="dxa"/>
                  </w:tcMar>
                  <w:vAlign w:val="center"/>
                  <w:hideMark/>
                </w:tcPr>
                <w:p w14:paraId="2D279685" w14:textId="77777777" w:rsidR="00964345" w:rsidRPr="00606974" w:rsidRDefault="00964345" w:rsidP="002E6174">
                  <w:pPr>
                    <w:pStyle w:val="TableParagraph"/>
                    <w:spacing w:before="20"/>
                    <w:rPr>
                      <w:bCs/>
                      <w:szCs w:val="20"/>
                    </w:rPr>
                  </w:pPr>
                  <w:r w:rsidRPr="00606974">
                    <w:rPr>
                      <w:b/>
                      <w:bCs/>
                      <w:szCs w:val="20"/>
                    </w:rPr>
                    <w:t>1.1</w:t>
                  </w:r>
                  <w:r w:rsidRPr="00606974">
                    <w:rPr>
                      <w:bCs/>
                      <w:szCs w:val="20"/>
                    </w:rPr>
                    <w:t> Instalații PV montate de către consumatorii casnici (Persoane fizice)</w:t>
                  </w:r>
                </w:p>
              </w:tc>
              <w:tc>
                <w:tcPr>
                  <w:tcW w:w="980" w:type="dxa"/>
                  <w:vAlign w:val="center"/>
                  <w:hideMark/>
                </w:tcPr>
                <w:p w14:paraId="62C64747" w14:textId="57D0FA21" w:rsidR="00964345" w:rsidRPr="00606974" w:rsidRDefault="00964345" w:rsidP="002E6174">
                  <w:pPr>
                    <w:pStyle w:val="TableParagraph"/>
                    <w:spacing w:before="20"/>
                    <w:jc w:val="center"/>
                    <w:rPr>
                      <w:bCs/>
                      <w:szCs w:val="20"/>
                    </w:rPr>
                  </w:pPr>
                  <w:r w:rsidRPr="00606974">
                    <w:rPr>
                      <w:bCs/>
                      <w:szCs w:val="20"/>
                    </w:rPr>
                    <w:t>43</w:t>
                  </w:r>
                </w:p>
              </w:tc>
              <w:tc>
                <w:tcPr>
                  <w:tcW w:w="1204" w:type="dxa"/>
                  <w:vAlign w:val="center"/>
                  <w:hideMark/>
                </w:tcPr>
                <w:p w14:paraId="6BA95C43" w14:textId="61D30CA6" w:rsidR="00964345" w:rsidRPr="00606974" w:rsidRDefault="001378CD" w:rsidP="002E6174">
                  <w:pPr>
                    <w:pStyle w:val="TableParagraph"/>
                    <w:spacing w:before="20"/>
                    <w:jc w:val="center"/>
                    <w:rPr>
                      <w:bCs/>
                      <w:szCs w:val="20"/>
                    </w:rPr>
                  </w:pPr>
                  <w:r>
                    <w:rPr>
                      <w:bCs/>
                      <w:szCs w:val="20"/>
                    </w:rPr>
                    <w:t>1</w:t>
                  </w:r>
                  <w:r w:rsidR="0002580E">
                    <w:rPr>
                      <w:bCs/>
                      <w:szCs w:val="20"/>
                    </w:rPr>
                    <w:t>3</w:t>
                  </w:r>
                  <w:r>
                    <w:rPr>
                      <w:bCs/>
                      <w:szCs w:val="20"/>
                    </w:rPr>
                    <w:t>,</w:t>
                  </w:r>
                  <w:r w:rsidR="0002580E">
                    <w:rPr>
                      <w:bCs/>
                      <w:szCs w:val="20"/>
                    </w:rPr>
                    <w:t>48</w:t>
                  </w:r>
                </w:p>
              </w:tc>
              <w:tc>
                <w:tcPr>
                  <w:tcW w:w="1584" w:type="dxa"/>
                  <w:vAlign w:val="center"/>
                  <w:hideMark/>
                </w:tcPr>
                <w:p w14:paraId="5B455EA4" w14:textId="620B1969" w:rsidR="00964345" w:rsidRPr="00606974" w:rsidRDefault="0002580E" w:rsidP="002E6174">
                  <w:pPr>
                    <w:pStyle w:val="TableParagraph"/>
                    <w:spacing w:before="20"/>
                    <w:jc w:val="center"/>
                    <w:rPr>
                      <w:bCs/>
                      <w:szCs w:val="20"/>
                    </w:rPr>
                  </w:pPr>
                  <w:r>
                    <w:rPr>
                      <w:bCs/>
                      <w:szCs w:val="20"/>
                    </w:rPr>
                    <w:t>31</w:t>
                  </w:r>
                </w:p>
              </w:tc>
              <w:tc>
                <w:tcPr>
                  <w:tcW w:w="1096" w:type="dxa"/>
                  <w:vAlign w:val="center"/>
                  <w:hideMark/>
                </w:tcPr>
                <w:p w14:paraId="0F4C8D6D" w14:textId="7D66E039" w:rsidR="00964345" w:rsidRPr="00606974" w:rsidRDefault="0002580E" w:rsidP="002E6174">
                  <w:pPr>
                    <w:pStyle w:val="TableParagraph"/>
                    <w:spacing w:before="20"/>
                    <w:jc w:val="center"/>
                    <w:rPr>
                      <w:bCs/>
                      <w:szCs w:val="20"/>
                    </w:rPr>
                  </w:pPr>
                  <w:r>
                    <w:rPr>
                      <w:bCs/>
                      <w:szCs w:val="20"/>
                    </w:rPr>
                    <w:t>6</w:t>
                  </w:r>
                  <w:r w:rsidR="001378CD">
                    <w:rPr>
                      <w:bCs/>
                      <w:szCs w:val="20"/>
                    </w:rPr>
                    <w:t>,</w:t>
                  </w:r>
                  <w:r>
                    <w:rPr>
                      <w:bCs/>
                      <w:szCs w:val="20"/>
                    </w:rPr>
                    <w:t>12</w:t>
                  </w:r>
                </w:p>
              </w:tc>
              <w:tc>
                <w:tcPr>
                  <w:tcW w:w="1560" w:type="dxa"/>
                  <w:vAlign w:val="center"/>
                </w:tcPr>
                <w:p w14:paraId="3FBD0597" w14:textId="2DA4BE65" w:rsidR="00964345" w:rsidRPr="00606974" w:rsidRDefault="00964345" w:rsidP="001378CD">
                  <w:pPr>
                    <w:pStyle w:val="TableParagraph"/>
                    <w:tabs>
                      <w:tab w:val="left" w:pos="540"/>
                    </w:tabs>
                    <w:spacing w:before="20"/>
                    <w:jc w:val="center"/>
                    <w:rPr>
                      <w:bCs/>
                      <w:szCs w:val="20"/>
                    </w:rPr>
                  </w:pPr>
                  <w:r>
                    <w:rPr>
                      <w:bCs/>
                      <w:szCs w:val="20"/>
                    </w:rPr>
                    <w:t>1</w:t>
                  </w:r>
                  <w:r w:rsidR="0002580E">
                    <w:rPr>
                      <w:bCs/>
                      <w:szCs w:val="20"/>
                    </w:rPr>
                    <w:t>4</w:t>
                  </w:r>
                </w:p>
              </w:tc>
            </w:tr>
            <w:tr w:rsidR="00964345" w:rsidRPr="00B62EB2" w14:paraId="1F5A83AA" w14:textId="518C43C0" w:rsidTr="001378CD">
              <w:trPr>
                <w:jc w:val="center"/>
              </w:trPr>
              <w:tc>
                <w:tcPr>
                  <w:tcW w:w="3202" w:type="dxa"/>
                  <w:tcMar>
                    <w:top w:w="15" w:type="dxa"/>
                    <w:left w:w="0" w:type="dxa"/>
                    <w:bottom w:w="15" w:type="dxa"/>
                    <w:right w:w="15" w:type="dxa"/>
                  </w:tcMar>
                  <w:vAlign w:val="center"/>
                  <w:hideMark/>
                </w:tcPr>
                <w:p w14:paraId="7F9E33A1" w14:textId="77777777" w:rsidR="00964345" w:rsidRPr="00606974" w:rsidRDefault="00964345" w:rsidP="002E6174">
                  <w:pPr>
                    <w:pStyle w:val="TableParagraph"/>
                    <w:spacing w:before="20"/>
                    <w:rPr>
                      <w:bCs/>
                      <w:szCs w:val="20"/>
                    </w:rPr>
                  </w:pPr>
                  <w:r w:rsidRPr="00606974">
                    <w:rPr>
                      <w:b/>
                      <w:bCs/>
                      <w:szCs w:val="20"/>
                    </w:rPr>
                    <w:t>1.2</w:t>
                  </w:r>
                  <w:r w:rsidRPr="00606974">
                    <w:rPr>
                      <w:bCs/>
                      <w:szCs w:val="20"/>
                    </w:rPr>
                    <w:t> Instalații PV montate de către instituțiile bugetare (Persoane juridice – Instituții bugetare)</w:t>
                  </w:r>
                </w:p>
              </w:tc>
              <w:tc>
                <w:tcPr>
                  <w:tcW w:w="980" w:type="dxa"/>
                  <w:vAlign w:val="center"/>
                  <w:hideMark/>
                </w:tcPr>
                <w:p w14:paraId="732FA477" w14:textId="77777777" w:rsidR="00964345" w:rsidRPr="00606974" w:rsidRDefault="00964345" w:rsidP="002E6174">
                  <w:pPr>
                    <w:pStyle w:val="TableParagraph"/>
                    <w:spacing w:before="20"/>
                    <w:jc w:val="center"/>
                    <w:rPr>
                      <w:bCs/>
                      <w:szCs w:val="20"/>
                    </w:rPr>
                  </w:pPr>
                  <w:r w:rsidRPr="00606974">
                    <w:rPr>
                      <w:bCs/>
                      <w:szCs w:val="20"/>
                    </w:rPr>
                    <w:t>7</w:t>
                  </w:r>
                </w:p>
              </w:tc>
              <w:tc>
                <w:tcPr>
                  <w:tcW w:w="1204" w:type="dxa"/>
                  <w:vAlign w:val="center"/>
                  <w:hideMark/>
                </w:tcPr>
                <w:p w14:paraId="05C5688A" w14:textId="7F7CE503" w:rsidR="00964345" w:rsidRPr="00606974" w:rsidRDefault="00964345" w:rsidP="002E6174">
                  <w:pPr>
                    <w:pStyle w:val="TableParagraph"/>
                    <w:spacing w:before="20"/>
                    <w:jc w:val="center"/>
                    <w:rPr>
                      <w:bCs/>
                      <w:szCs w:val="20"/>
                    </w:rPr>
                  </w:pPr>
                  <w:r w:rsidRPr="00606974">
                    <w:rPr>
                      <w:bCs/>
                      <w:szCs w:val="20"/>
                    </w:rPr>
                    <w:t>1</w:t>
                  </w:r>
                  <w:r w:rsidR="0002580E">
                    <w:rPr>
                      <w:bCs/>
                      <w:szCs w:val="20"/>
                    </w:rPr>
                    <w:t>5</w:t>
                  </w:r>
                  <w:r w:rsidR="001378CD">
                    <w:rPr>
                      <w:bCs/>
                      <w:szCs w:val="20"/>
                    </w:rPr>
                    <w:t>,0</w:t>
                  </w:r>
                  <w:r w:rsidR="0002580E">
                    <w:rPr>
                      <w:bCs/>
                      <w:szCs w:val="20"/>
                    </w:rPr>
                    <w:t>3</w:t>
                  </w:r>
                </w:p>
              </w:tc>
              <w:tc>
                <w:tcPr>
                  <w:tcW w:w="1584" w:type="dxa"/>
                  <w:vAlign w:val="center"/>
                  <w:hideMark/>
                </w:tcPr>
                <w:p w14:paraId="01481AA1" w14:textId="7C3DCBEC" w:rsidR="00964345" w:rsidRPr="00606974" w:rsidRDefault="001378CD" w:rsidP="002E6174">
                  <w:pPr>
                    <w:pStyle w:val="TableParagraph"/>
                    <w:spacing w:before="20"/>
                    <w:jc w:val="center"/>
                    <w:rPr>
                      <w:bCs/>
                      <w:szCs w:val="20"/>
                    </w:rPr>
                  </w:pPr>
                  <w:r>
                    <w:rPr>
                      <w:bCs/>
                      <w:szCs w:val="20"/>
                    </w:rPr>
                    <w:t>2</w:t>
                  </w:r>
                  <w:r w:rsidR="0002580E">
                    <w:rPr>
                      <w:bCs/>
                      <w:szCs w:val="20"/>
                    </w:rPr>
                    <w:t>15</w:t>
                  </w:r>
                </w:p>
              </w:tc>
              <w:tc>
                <w:tcPr>
                  <w:tcW w:w="1096" w:type="dxa"/>
                  <w:vAlign w:val="center"/>
                  <w:hideMark/>
                </w:tcPr>
                <w:p w14:paraId="46323135" w14:textId="14A7B249" w:rsidR="00964345" w:rsidRPr="00606974" w:rsidRDefault="00964345" w:rsidP="002E6174">
                  <w:pPr>
                    <w:pStyle w:val="TableParagraph"/>
                    <w:spacing w:before="20"/>
                    <w:jc w:val="center"/>
                    <w:rPr>
                      <w:bCs/>
                      <w:szCs w:val="20"/>
                    </w:rPr>
                  </w:pPr>
                  <w:r>
                    <w:rPr>
                      <w:bCs/>
                      <w:szCs w:val="20"/>
                    </w:rPr>
                    <w:t>3,</w:t>
                  </w:r>
                  <w:r w:rsidR="0002580E">
                    <w:rPr>
                      <w:bCs/>
                      <w:szCs w:val="20"/>
                    </w:rPr>
                    <w:t>90</w:t>
                  </w:r>
                </w:p>
              </w:tc>
              <w:tc>
                <w:tcPr>
                  <w:tcW w:w="1560" w:type="dxa"/>
                  <w:vAlign w:val="center"/>
                </w:tcPr>
                <w:p w14:paraId="0D100B0C" w14:textId="4C405C94" w:rsidR="00964345" w:rsidRPr="001378CD" w:rsidRDefault="00964345" w:rsidP="001378CD">
                  <w:pPr>
                    <w:pStyle w:val="TableParagraph"/>
                    <w:spacing w:before="20"/>
                    <w:jc w:val="center"/>
                    <w:rPr>
                      <w:bCs/>
                      <w:szCs w:val="20"/>
                    </w:rPr>
                  </w:pPr>
                  <w:r>
                    <w:rPr>
                      <w:bCs/>
                      <w:szCs w:val="20"/>
                    </w:rPr>
                    <w:t>5</w:t>
                  </w:r>
                  <w:r w:rsidR="0002580E">
                    <w:rPr>
                      <w:bCs/>
                      <w:szCs w:val="20"/>
                    </w:rPr>
                    <w:t>6</w:t>
                  </w:r>
                </w:p>
              </w:tc>
            </w:tr>
            <w:tr w:rsidR="00964345" w:rsidRPr="00B62EB2" w14:paraId="425AE3D2" w14:textId="3B848D39" w:rsidTr="001378CD">
              <w:trPr>
                <w:jc w:val="center"/>
              </w:trPr>
              <w:tc>
                <w:tcPr>
                  <w:tcW w:w="3202" w:type="dxa"/>
                  <w:tcMar>
                    <w:top w:w="15" w:type="dxa"/>
                    <w:left w:w="0" w:type="dxa"/>
                    <w:bottom w:w="15" w:type="dxa"/>
                    <w:right w:w="15" w:type="dxa"/>
                  </w:tcMar>
                  <w:vAlign w:val="center"/>
                  <w:hideMark/>
                </w:tcPr>
                <w:p w14:paraId="450D4E8F" w14:textId="77777777" w:rsidR="00964345" w:rsidRPr="00606974" w:rsidRDefault="00964345" w:rsidP="002E6174">
                  <w:pPr>
                    <w:pStyle w:val="TableParagraph"/>
                    <w:spacing w:before="20"/>
                    <w:rPr>
                      <w:bCs/>
                      <w:szCs w:val="20"/>
                    </w:rPr>
                  </w:pPr>
                  <w:r w:rsidRPr="00606974">
                    <w:rPr>
                      <w:b/>
                      <w:bCs/>
                      <w:szCs w:val="20"/>
                    </w:rPr>
                    <w:t>1.3</w:t>
                  </w:r>
                  <w:r w:rsidRPr="00606974">
                    <w:rPr>
                      <w:bCs/>
                      <w:szCs w:val="20"/>
                    </w:rPr>
                    <w:t> Instalații PV montate de către alți consumatori finali (Persoane juridice – Companii private)</w:t>
                  </w:r>
                </w:p>
              </w:tc>
              <w:tc>
                <w:tcPr>
                  <w:tcW w:w="980" w:type="dxa"/>
                  <w:vAlign w:val="center"/>
                  <w:hideMark/>
                </w:tcPr>
                <w:p w14:paraId="2A8B9579" w14:textId="77777777" w:rsidR="00964345" w:rsidRPr="00606974" w:rsidRDefault="00964345" w:rsidP="002E6174">
                  <w:pPr>
                    <w:pStyle w:val="TableParagraph"/>
                    <w:spacing w:before="20"/>
                    <w:jc w:val="center"/>
                    <w:rPr>
                      <w:bCs/>
                      <w:szCs w:val="20"/>
                    </w:rPr>
                  </w:pPr>
                  <w:r w:rsidRPr="00606974">
                    <w:rPr>
                      <w:bCs/>
                      <w:szCs w:val="20"/>
                    </w:rPr>
                    <w:t>50</w:t>
                  </w:r>
                </w:p>
              </w:tc>
              <w:tc>
                <w:tcPr>
                  <w:tcW w:w="1204" w:type="dxa"/>
                  <w:vAlign w:val="center"/>
                  <w:hideMark/>
                </w:tcPr>
                <w:p w14:paraId="47F20E69" w14:textId="6691BBEC" w:rsidR="00964345" w:rsidRPr="00606974" w:rsidRDefault="0002580E" w:rsidP="002E6174">
                  <w:pPr>
                    <w:pStyle w:val="TableParagraph"/>
                    <w:spacing w:before="20"/>
                    <w:jc w:val="center"/>
                    <w:rPr>
                      <w:bCs/>
                      <w:szCs w:val="20"/>
                    </w:rPr>
                  </w:pPr>
                  <w:r>
                    <w:rPr>
                      <w:bCs/>
                      <w:szCs w:val="20"/>
                    </w:rPr>
                    <w:t>75</w:t>
                  </w:r>
                  <w:r w:rsidR="001378CD">
                    <w:rPr>
                      <w:bCs/>
                      <w:szCs w:val="20"/>
                    </w:rPr>
                    <w:t>,</w:t>
                  </w:r>
                  <w:r>
                    <w:rPr>
                      <w:bCs/>
                      <w:szCs w:val="20"/>
                    </w:rPr>
                    <w:t>61</w:t>
                  </w:r>
                </w:p>
              </w:tc>
              <w:tc>
                <w:tcPr>
                  <w:tcW w:w="1584" w:type="dxa"/>
                  <w:vAlign w:val="center"/>
                  <w:hideMark/>
                </w:tcPr>
                <w:p w14:paraId="2C1FA89D" w14:textId="168BC5E9" w:rsidR="00964345" w:rsidRPr="00606974" w:rsidRDefault="00964345" w:rsidP="002E6174">
                  <w:pPr>
                    <w:pStyle w:val="TableParagraph"/>
                    <w:spacing w:before="20"/>
                    <w:jc w:val="center"/>
                    <w:rPr>
                      <w:bCs/>
                      <w:szCs w:val="20"/>
                    </w:rPr>
                  </w:pPr>
                  <w:r w:rsidRPr="00606974">
                    <w:rPr>
                      <w:bCs/>
                      <w:szCs w:val="20"/>
                    </w:rPr>
                    <w:t>1</w:t>
                  </w:r>
                  <w:r w:rsidR="0002580E">
                    <w:rPr>
                      <w:bCs/>
                      <w:szCs w:val="20"/>
                    </w:rPr>
                    <w:t>51</w:t>
                  </w:r>
                </w:p>
              </w:tc>
              <w:tc>
                <w:tcPr>
                  <w:tcW w:w="1096" w:type="dxa"/>
                  <w:vAlign w:val="center"/>
                  <w:hideMark/>
                </w:tcPr>
                <w:p w14:paraId="55945A0A" w14:textId="4E27D217" w:rsidR="00964345" w:rsidRPr="00606974" w:rsidRDefault="001378CD" w:rsidP="002E6174">
                  <w:pPr>
                    <w:pStyle w:val="TableParagraph"/>
                    <w:spacing w:before="20"/>
                    <w:jc w:val="center"/>
                    <w:rPr>
                      <w:bCs/>
                      <w:szCs w:val="20"/>
                    </w:rPr>
                  </w:pPr>
                  <w:r>
                    <w:rPr>
                      <w:bCs/>
                      <w:szCs w:val="20"/>
                    </w:rPr>
                    <w:t>2</w:t>
                  </w:r>
                  <w:r w:rsidR="0002580E">
                    <w:rPr>
                      <w:bCs/>
                      <w:szCs w:val="20"/>
                    </w:rPr>
                    <w:t>7</w:t>
                  </w:r>
                  <w:r>
                    <w:rPr>
                      <w:bCs/>
                      <w:szCs w:val="20"/>
                    </w:rPr>
                    <w:t>,</w:t>
                  </w:r>
                  <w:r w:rsidR="0002580E">
                    <w:rPr>
                      <w:bCs/>
                      <w:szCs w:val="20"/>
                    </w:rPr>
                    <w:t>65</w:t>
                  </w:r>
                </w:p>
              </w:tc>
              <w:tc>
                <w:tcPr>
                  <w:tcW w:w="1560" w:type="dxa"/>
                  <w:vAlign w:val="center"/>
                </w:tcPr>
                <w:p w14:paraId="672A9095" w14:textId="555D521D" w:rsidR="00964345" w:rsidRPr="00606974" w:rsidRDefault="0002580E" w:rsidP="001378CD">
                  <w:pPr>
                    <w:pStyle w:val="TableParagraph"/>
                    <w:spacing w:before="20"/>
                    <w:jc w:val="center"/>
                    <w:rPr>
                      <w:bCs/>
                      <w:szCs w:val="20"/>
                    </w:rPr>
                  </w:pPr>
                  <w:r>
                    <w:rPr>
                      <w:bCs/>
                      <w:szCs w:val="20"/>
                    </w:rPr>
                    <w:t>66</w:t>
                  </w:r>
                </w:p>
              </w:tc>
            </w:tr>
          </w:tbl>
          <w:p w14:paraId="5DFA29E4" w14:textId="77777777" w:rsidR="00BE0B54" w:rsidRPr="00B62EB2" w:rsidRDefault="00BE0B54" w:rsidP="00776979">
            <w:pPr>
              <w:pStyle w:val="TableParagraph"/>
              <w:spacing w:before="20"/>
              <w:rPr>
                <w:bCs/>
                <w:sz w:val="24"/>
              </w:rPr>
            </w:pPr>
          </w:p>
          <w:p w14:paraId="262DC231" w14:textId="5CFB203D" w:rsidR="000357E9" w:rsidRPr="00606974" w:rsidRDefault="00371616" w:rsidP="00606974">
            <w:pPr>
              <w:pStyle w:val="NormalWeb"/>
              <w:spacing w:before="0" w:beforeAutospacing="0" w:after="0" w:afterAutospacing="0"/>
              <w:jc w:val="both"/>
              <w:rPr>
                <w:bCs/>
                <w:lang w:val="ro-RO"/>
              </w:rPr>
            </w:pPr>
            <w:r w:rsidRPr="00606974">
              <w:rPr>
                <w:bCs/>
                <w:lang w:val="ro-RO"/>
              </w:rPr>
              <w:t>C</w:t>
            </w:r>
            <w:r w:rsidR="00D5553C" w:rsidRPr="00606974">
              <w:rPr>
                <w:lang w:val="ro-RO"/>
              </w:rPr>
              <w:t>onform ultimelor informații, publicate de către Centrul Național pentru Energie Durabilă</w:t>
            </w:r>
            <w:r w:rsidR="00D5553C" w:rsidRPr="00606974">
              <w:rPr>
                <w:rStyle w:val="FootnoteReference"/>
                <w:lang w:val="ro-RO"/>
              </w:rPr>
              <w:footnoteReference w:id="1"/>
            </w:r>
            <w:r w:rsidR="00D5553C" w:rsidRPr="00606974">
              <w:rPr>
                <w:lang w:val="ro-RO"/>
              </w:rPr>
              <w:t xml:space="preserve"> </w:t>
            </w:r>
            <w:r w:rsidR="000357E9" w:rsidRPr="00606974">
              <w:rPr>
                <w:bCs/>
                <w:lang w:val="ro-RO"/>
              </w:rPr>
              <w:t xml:space="preserve">pentru perioada 01.01.2024 – </w:t>
            </w:r>
            <w:r w:rsidR="0002580E">
              <w:rPr>
                <w:bCs/>
                <w:lang w:val="ro-RO"/>
              </w:rPr>
              <w:t>31</w:t>
            </w:r>
            <w:r w:rsidR="000357E9" w:rsidRPr="00606974">
              <w:rPr>
                <w:bCs/>
                <w:lang w:val="ro-RO"/>
              </w:rPr>
              <w:t>.0</w:t>
            </w:r>
            <w:r w:rsidR="0002580E">
              <w:rPr>
                <w:bCs/>
                <w:lang w:val="ro-RO"/>
              </w:rPr>
              <w:t>3</w:t>
            </w:r>
            <w:r w:rsidR="000357E9" w:rsidRPr="00606974">
              <w:rPr>
                <w:bCs/>
                <w:lang w:val="ro-RO"/>
              </w:rPr>
              <w:t xml:space="preserve">.2025, s-au emis avize pentru mai multe capacități decât cele alocate inițial. De exemplu, pentru categoria 1.1 (consumatori casnici), unde cota de capacitate alocată este de 43 MW, au fost emise avize pentru </w:t>
            </w:r>
            <w:r w:rsidR="003E4050">
              <w:rPr>
                <w:bCs/>
                <w:lang w:val="ro-RO"/>
              </w:rPr>
              <w:t>1</w:t>
            </w:r>
            <w:r w:rsidR="0002580E">
              <w:rPr>
                <w:bCs/>
                <w:lang w:val="ro-RO"/>
              </w:rPr>
              <w:t>3</w:t>
            </w:r>
            <w:r w:rsidR="003E4050">
              <w:rPr>
                <w:bCs/>
                <w:lang w:val="ro-RO"/>
              </w:rPr>
              <w:t>,</w:t>
            </w:r>
            <w:r w:rsidR="0002580E">
              <w:rPr>
                <w:bCs/>
                <w:lang w:val="ro-RO"/>
              </w:rPr>
              <w:t>48</w:t>
            </w:r>
            <w:r w:rsidR="003E4050">
              <w:rPr>
                <w:bCs/>
                <w:lang w:val="ro-RO"/>
              </w:rPr>
              <w:t xml:space="preserve"> </w:t>
            </w:r>
            <w:r w:rsidR="000357E9" w:rsidRPr="00606974">
              <w:rPr>
                <w:bCs/>
                <w:lang w:val="ro-RO"/>
              </w:rPr>
              <w:t xml:space="preserve">MW, ceea ce reprezintă </w:t>
            </w:r>
            <w:r w:rsidR="0002580E">
              <w:rPr>
                <w:bCs/>
                <w:lang w:val="ro-RO"/>
              </w:rPr>
              <w:t>31</w:t>
            </w:r>
            <w:r w:rsidR="000357E9" w:rsidRPr="00606974">
              <w:rPr>
                <w:bCs/>
                <w:lang w:val="ro-RO"/>
              </w:rPr>
              <w:t>% din cota alocată. La categoria 1.2 (instituții bugetare), unde cota alocată este de 7 MW, s-au emis avize pentru 1</w:t>
            </w:r>
            <w:r w:rsidR="0002580E">
              <w:rPr>
                <w:bCs/>
                <w:lang w:val="ro-RO"/>
              </w:rPr>
              <w:t>5</w:t>
            </w:r>
            <w:r w:rsidR="000357E9" w:rsidRPr="00606974">
              <w:rPr>
                <w:bCs/>
                <w:lang w:val="ro-RO"/>
              </w:rPr>
              <w:t>,</w:t>
            </w:r>
            <w:r w:rsidR="003E4050">
              <w:rPr>
                <w:bCs/>
                <w:lang w:val="ro-RO"/>
              </w:rPr>
              <w:t>0</w:t>
            </w:r>
            <w:r w:rsidR="0002580E">
              <w:rPr>
                <w:bCs/>
                <w:lang w:val="ro-RO"/>
              </w:rPr>
              <w:t>3</w:t>
            </w:r>
            <w:r w:rsidR="000357E9" w:rsidRPr="00606974">
              <w:rPr>
                <w:bCs/>
                <w:lang w:val="ro-RO"/>
              </w:rPr>
              <w:t xml:space="preserve"> MW, depășind cotele alocate cu </w:t>
            </w:r>
            <w:r w:rsidR="003E4050">
              <w:rPr>
                <w:bCs/>
                <w:lang w:val="ro-RO"/>
              </w:rPr>
              <w:t>2</w:t>
            </w:r>
            <w:r w:rsidR="0002580E">
              <w:rPr>
                <w:bCs/>
                <w:lang w:val="ro-RO"/>
              </w:rPr>
              <w:t>15</w:t>
            </w:r>
            <w:r w:rsidR="000357E9" w:rsidRPr="00606974">
              <w:rPr>
                <w:bCs/>
                <w:lang w:val="ro-RO"/>
              </w:rPr>
              <w:t xml:space="preserve">%. În cazul categoriei 1.3 (companii private), unde cota de capacitate este de 50 MW, avizele emise au fost pentru </w:t>
            </w:r>
            <w:r w:rsidR="0002580E">
              <w:rPr>
                <w:bCs/>
                <w:lang w:val="ro-RO"/>
              </w:rPr>
              <w:t>75</w:t>
            </w:r>
            <w:r w:rsidR="000357E9" w:rsidRPr="00606974">
              <w:rPr>
                <w:bCs/>
                <w:lang w:val="ro-RO"/>
              </w:rPr>
              <w:t>,</w:t>
            </w:r>
            <w:r w:rsidR="0002580E">
              <w:rPr>
                <w:bCs/>
                <w:lang w:val="ro-RO"/>
              </w:rPr>
              <w:t>6</w:t>
            </w:r>
            <w:r w:rsidR="000357E9" w:rsidRPr="00606974">
              <w:rPr>
                <w:bCs/>
                <w:lang w:val="ro-RO"/>
              </w:rPr>
              <w:t xml:space="preserve">1 MW, ceea ce reprezintă o depășire cu </w:t>
            </w:r>
            <w:r w:rsidR="003E4050">
              <w:rPr>
                <w:bCs/>
                <w:lang w:val="ro-RO"/>
              </w:rPr>
              <w:t>1</w:t>
            </w:r>
            <w:r w:rsidR="0002580E">
              <w:rPr>
                <w:bCs/>
                <w:lang w:val="ro-RO"/>
              </w:rPr>
              <w:t>51</w:t>
            </w:r>
            <w:r w:rsidR="000357E9" w:rsidRPr="00606974">
              <w:rPr>
                <w:bCs/>
                <w:lang w:val="ro-RO"/>
              </w:rPr>
              <w:t>% a cotelor alocate.</w:t>
            </w:r>
          </w:p>
          <w:p w14:paraId="65347025" w14:textId="18112A62" w:rsidR="00DB5007" w:rsidRPr="00B62EB2" w:rsidRDefault="000357E9" w:rsidP="00434D56">
            <w:pPr>
              <w:pStyle w:val="TableParagraph"/>
              <w:spacing w:before="20"/>
              <w:rPr>
                <w:bCs/>
                <w:sz w:val="24"/>
              </w:rPr>
            </w:pPr>
            <w:r w:rsidRPr="00606974">
              <w:rPr>
                <w:bCs/>
                <w:sz w:val="24"/>
              </w:rPr>
              <w:t xml:space="preserve">Este evident că, </w:t>
            </w:r>
            <w:r w:rsidR="00BE0B54" w:rsidRPr="00B62EB2">
              <w:rPr>
                <w:bCs/>
                <w:sz w:val="24"/>
              </w:rPr>
              <w:t xml:space="preserve">cotele alocate prin </w:t>
            </w:r>
            <w:r w:rsidR="00D44988" w:rsidRPr="00B62EB2">
              <w:rPr>
                <w:bCs/>
                <w:sz w:val="24"/>
              </w:rPr>
              <w:t>H</w:t>
            </w:r>
            <w:r w:rsidR="00BE0B54" w:rsidRPr="00B62EB2">
              <w:rPr>
                <w:bCs/>
                <w:sz w:val="24"/>
              </w:rPr>
              <w:t>otărârea 401/</w:t>
            </w:r>
            <w:r w:rsidR="00D44988" w:rsidRPr="00B62EB2">
              <w:rPr>
                <w:bCs/>
                <w:sz w:val="24"/>
              </w:rPr>
              <w:t>2021</w:t>
            </w:r>
            <w:r w:rsidR="00BE0B54" w:rsidRPr="00B62EB2">
              <w:rPr>
                <w:bCs/>
                <w:sz w:val="24"/>
              </w:rPr>
              <w:t xml:space="preserve"> nu reprezintă interesul real al potențiali</w:t>
            </w:r>
            <w:r w:rsidR="00D44988" w:rsidRPr="00B62EB2">
              <w:rPr>
                <w:bCs/>
                <w:sz w:val="24"/>
              </w:rPr>
              <w:t>lor pro</w:t>
            </w:r>
            <w:r w:rsidR="00BE0B54" w:rsidRPr="00B62EB2">
              <w:rPr>
                <w:bCs/>
                <w:sz w:val="24"/>
              </w:rPr>
              <w:t>sumatori</w:t>
            </w:r>
            <w:r w:rsidR="002A656D" w:rsidRPr="00B62EB2">
              <w:rPr>
                <w:bCs/>
                <w:sz w:val="24"/>
              </w:rPr>
              <w:t>, iar depășirea pe acestora în cazul unor alte categorii de consumatori</w:t>
            </w:r>
            <w:r w:rsidR="000A78D5" w:rsidRPr="00B62EB2">
              <w:rPr>
                <w:bCs/>
                <w:sz w:val="24"/>
              </w:rPr>
              <w:t xml:space="preserve"> limitează accesul acestora la mecanismul Facturare netă.</w:t>
            </w:r>
          </w:p>
          <w:p w14:paraId="26320E05" w14:textId="77777777" w:rsidR="00580BB3" w:rsidRPr="00B62EB2" w:rsidRDefault="00580BB3" w:rsidP="000F0EA3">
            <w:pPr>
              <w:pStyle w:val="TableParagraph"/>
              <w:spacing w:before="20"/>
              <w:ind w:left="0"/>
              <w:rPr>
                <w:bCs/>
                <w:sz w:val="24"/>
              </w:rPr>
            </w:pPr>
          </w:p>
          <w:p w14:paraId="1221BD02" w14:textId="6AB1BBC4" w:rsidR="00DC082A" w:rsidRPr="00606974" w:rsidRDefault="00DB5007" w:rsidP="00606974">
            <w:pPr>
              <w:pStyle w:val="TableParagraph"/>
              <w:spacing w:before="20"/>
              <w:ind w:left="0"/>
              <w:rPr>
                <w:bCs/>
                <w:sz w:val="24"/>
              </w:rPr>
            </w:pPr>
            <w:r w:rsidRPr="00B62EB2">
              <w:rPr>
                <w:bCs/>
                <w:sz w:val="24"/>
              </w:rPr>
              <w:t xml:space="preserve">Suplementar la cele menționate </w:t>
            </w:r>
            <w:r w:rsidR="00414715" w:rsidRPr="00B62EB2">
              <w:rPr>
                <w:bCs/>
                <w:sz w:val="24"/>
              </w:rPr>
              <w:t xml:space="preserve">a fost </w:t>
            </w:r>
            <w:r w:rsidRPr="00B62EB2">
              <w:rPr>
                <w:bCs/>
                <w:sz w:val="24"/>
              </w:rPr>
              <w:t>identificat</w:t>
            </w:r>
            <w:r w:rsidR="00414715" w:rsidRPr="00B62EB2">
              <w:rPr>
                <w:bCs/>
                <w:sz w:val="24"/>
              </w:rPr>
              <w:t>ă</w:t>
            </w:r>
            <w:r w:rsidRPr="00B62EB2">
              <w:rPr>
                <w:bCs/>
                <w:sz w:val="24"/>
              </w:rPr>
              <w:t xml:space="preserve"> și problema</w:t>
            </w:r>
            <w:r w:rsidR="00414715" w:rsidRPr="00B62EB2">
              <w:rPr>
                <w:bCs/>
                <w:sz w:val="24"/>
              </w:rPr>
              <w:t xml:space="preserve"> imposibilității </w:t>
            </w:r>
            <w:r w:rsidRPr="00B62EB2">
              <w:rPr>
                <w:bCs/>
                <w:sz w:val="24"/>
              </w:rPr>
              <w:t xml:space="preserve">majorării plafonului de capacitate </w:t>
            </w:r>
            <w:r w:rsidR="00CD0016" w:rsidRPr="00B62EB2">
              <w:rPr>
                <w:bCs/>
                <w:sz w:val="24"/>
              </w:rPr>
              <w:t>individuală</w:t>
            </w:r>
            <w:r w:rsidR="00414715" w:rsidRPr="00B62EB2">
              <w:rPr>
                <w:bCs/>
                <w:sz w:val="24"/>
              </w:rPr>
              <w:t xml:space="preserve"> după ce centrala electrică fotovoltaică a fost pusă în funcțiune</w:t>
            </w:r>
            <w:r w:rsidR="00A935DB" w:rsidRPr="00B62EB2">
              <w:rPr>
                <w:bCs/>
                <w:sz w:val="24"/>
              </w:rPr>
              <w:t xml:space="preserve">. Imposibilitatea rezultă din formula de stabilire a plafonului de </w:t>
            </w:r>
            <w:r w:rsidR="00CD0016" w:rsidRPr="00B62EB2">
              <w:rPr>
                <w:bCs/>
                <w:sz w:val="24"/>
              </w:rPr>
              <w:t>capacitate</w:t>
            </w:r>
            <w:r w:rsidR="00A935DB" w:rsidRPr="00B62EB2">
              <w:rPr>
                <w:bCs/>
                <w:sz w:val="24"/>
              </w:rPr>
              <w:t xml:space="preserve"> individuală care se referă la consumul istoric de energie electrică citit </w:t>
            </w:r>
            <w:r w:rsidR="004D1004" w:rsidRPr="00B62EB2">
              <w:rPr>
                <w:bCs/>
                <w:sz w:val="24"/>
              </w:rPr>
              <w:t>de către operatorul sistemului de distribuție din datele de la contorul de energie electrică</w:t>
            </w:r>
            <w:r w:rsidR="00A935DB" w:rsidRPr="00B62EB2">
              <w:rPr>
                <w:bCs/>
                <w:sz w:val="24"/>
              </w:rPr>
              <w:t>. Ori</w:t>
            </w:r>
            <w:r w:rsidR="004D1004" w:rsidRPr="00B62EB2">
              <w:rPr>
                <w:bCs/>
                <w:sz w:val="24"/>
              </w:rPr>
              <w:t>,</w:t>
            </w:r>
            <w:r w:rsidR="00A935DB" w:rsidRPr="00B62EB2">
              <w:rPr>
                <w:bCs/>
                <w:sz w:val="24"/>
              </w:rPr>
              <w:t xml:space="preserve"> în cazul în ca</w:t>
            </w:r>
            <w:r w:rsidR="004D1004" w:rsidRPr="00B62EB2">
              <w:rPr>
                <w:bCs/>
                <w:sz w:val="24"/>
              </w:rPr>
              <w:t xml:space="preserve">re prosumatorul consumă energie </w:t>
            </w:r>
            <w:r w:rsidR="00CD0016" w:rsidRPr="00B62EB2">
              <w:rPr>
                <w:bCs/>
                <w:sz w:val="24"/>
              </w:rPr>
              <w:t>electrică</w:t>
            </w:r>
            <w:r w:rsidR="004D1004" w:rsidRPr="00B62EB2">
              <w:rPr>
                <w:bCs/>
                <w:sz w:val="24"/>
              </w:rPr>
              <w:t xml:space="preserve"> generată de centrala proprie contorul de energie electrică nu </w:t>
            </w:r>
            <w:r w:rsidR="004705D4" w:rsidRPr="00B62EB2">
              <w:rPr>
                <w:bCs/>
                <w:sz w:val="24"/>
              </w:rPr>
              <w:t>înregistrează</w:t>
            </w:r>
            <w:r w:rsidR="0092491B" w:rsidRPr="00B62EB2">
              <w:rPr>
                <w:bCs/>
                <w:sz w:val="24"/>
              </w:rPr>
              <w:t xml:space="preserve"> acest consum, respectiv nu poate fi oferită dovada de creștere</w:t>
            </w:r>
            <w:r w:rsidR="004705D4" w:rsidRPr="00B62EB2">
              <w:rPr>
                <w:bCs/>
                <w:sz w:val="24"/>
              </w:rPr>
              <w:t xml:space="preserve"> a necesarului de energie electrică</w:t>
            </w:r>
            <w:r w:rsidR="0092491B" w:rsidRPr="00B62EB2">
              <w:rPr>
                <w:bCs/>
                <w:sz w:val="24"/>
              </w:rPr>
              <w:t>.</w:t>
            </w:r>
            <w:r w:rsidR="004705D4" w:rsidRPr="00B62EB2">
              <w:rPr>
                <w:bCs/>
                <w:sz w:val="24"/>
              </w:rPr>
              <w:t xml:space="preserve"> De asemenea s-a decis </w:t>
            </w:r>
            <w:r w:rsidR="007B38E2" w:rsidRPr="00B62EB2">
              <w:rPr>
                <w:bCs/>
                <w:sz w:val="24"/>
              </w:rPr>
              <w:t xml:space="preserve">includerea posibilității aplicării mecanismului „facturare netă” și pentru </w:t>
            </w:r>
            <w:r w:rsidR="006E1358">
              <w:rPr>
                <w:bCs/>
                <w:sz w:val="24"/>
              </w:rPr>
              <w:t>instalațiile</w:t>
            </w:r>
            <w:r w:rsidR="009073C0">
              <w:rPr>
                <w:bCs/>
                <w:sz w:val="24"/>
              </w:rPr>
              <w:t xml:space="preserve"> de biogaz</w:t>
            </w:r>
            <w:r w:rsidR="0043610B">
              <w:rPr>
                <w:bCs/>
                <w:sz w:val="24"/>
              </w:rPr>
              <w:t xml:space="preserve"> </w:t>
            </w:r>
            <w:r w:rsidR="006E1358">
              <w:rPr>
                <w:bCs/>
                <w:sz w:val="24"/>
              </w:rPr>
              <w:t>și cele eoliene</w:t>
            </w:r>
            <w:r w:rsidR="007B38E2" w:rsidRPr="00B62EB2">
              <w:rPr>
                <w:bCs/>
                <w:sz w:val="24"/>
              </w:rPr>
              <w:t>.</w:t>
            </w:r>
          </w:p>
        </w:tc>
      </w:tr>
      <w:tr w:rsidR="00DC082A" w:rsidRPr="00B62EB2" w14:paraId="1EA2ECF7" w14:textId="77777777" w:rsidTr="004E65EF">
        <w:trPr>
          <w:trHeight w:val="602"/>
        </w:trPr>
        <w:tc>
          <w:tcPr>
            <w:tcW w:w="10310" w:type="dxa"/>
          </w:tcPr>
          <w:p w14:paraId="73C63810" w14:textId="77777777" w:rsidR="00DC082A" w:rsidRPr="00B62EB2" w:rsidRDefault="00DC082A" w:rsidP="00DC082A">
            <w:pPr>
              <w:pStyle w:val="TableParagraph"/>
              <w:numPr>
                <w:ilvl w:val="0"/>
                <w:numId w:val="4"/>
              </w:numPr>
              <w:spacing w:before="20"/>
              <w:rPr>
                <w:b/>
                <w:sz w:val="24"/>
              </w:rPr>
            </w:pPr>
            <w:r w:rsidRPr="00B62EB2">
              <w:rPr>
                <w:b/>
                <w:sz w:val="24"/>
              </w:rPr>
              <w:lastRenderedPageBreak/>
              <w:t>Obiectivele urmărite și soluțiile propuse</w:t>
            </w:r>
          </w:p>
          <w:p w14:paraId="48772A6A" w14:textId="66B81779" w:rsidR="0038472E" w:rsidRPr="00606974" w:rsidRDefault="0038472E" w:rsidP="00606974">
            <w:pPr>
              <w:pStyle w:val="TableParagraph"/>
              <w:numPr>
                <w:ilvl w:val="1"/>
                <w:numId w:val="4"/>
              </w:numPr>
              <w:spacing w:before="20"/>
              <w:rPr>
                <w:bCs/>
                <w:sz w:val="24"/>
              </w:rPr>
            </w:pPr>
            <w:r w:rsidRPr="00606974">
              <w:rPr>
                <w:bCs/>
                <w:sz w:val="24"/>
              </w:rPr>
              <w:t xml:space="preserve"> Principalele prevederi ale proiectului și evidențierea elementelor noi</w:t>
            </w:r>
          </w:p>
        </w:tc>
      </w:tr>
      <w:tr w:rsidR="004B6E6B" w:rsidRPr="00B62EB2" w14:paraId="2A26BA7F" w14:textId="77777777" w:rsidTr="004E65EF">
        <w:trPr>
          <w:trHeight w:val="602"/>
        </w:trPr>
        <w:tc>
          <w:tcPr>
            <w:tcW w:w="10310" w:type="dxa"/>
          </w:tcPr>
          <w:p w14:paraId="5907574A" w14:textId="668EB9E0" w:rsidR="00575849" w:rsidRPr="00B62EB2" w:rsidRDefault="00575849" w:rsidP="00434D56">
            <w:pPr>
              <w:pStyle w:val="TableParagraph"/>
              <w:spacing w:before="20"/>
              <w:rPr>
                <w:bCs/>
                <w:sz w:val="24"/>
              </w:rPr>
            </w:pPr>
            <w:r w:rsidRPr="00B62EB2">
              <w:rPr>
                <w:bCs/>
                <w:sz w:val="24"/>
              </w:rPr>
              <w:t xml:space="preserve">Prin </w:t>
            </w:r>
            <w:r w:rsidR="00434D56" w:rsidRPr="00B62EB2">
              <w:rPr>
                <w:bCs/>
                <w:sz w:val="24"/>
              </w:rPr>
              <w:t xml:space="preserve">proiectul </w:t>
            </w:r>
            <w:r w:rsidRPr="00B62EB2">
              <w:rPr>
                <w:bCs/>
                <w:sz w:val="24"/>
              </w:rPr>
              <w:t xml:space="preserve">de </w:t>
            </w:r>
            <w:r w:rsidR="00CD0016" w:rsidRPr="00B62EB2">
              <w:rPr>
                <w:bCs/>
                <w:sz w:val="24"/>
              </w:rPr>
              <w:t>hotărâre</w:t>
            </w:r>
            <w:r w:rsidRPr="00B62EB2">
              <w:rPr>
                <w:bCs/>
                <w:sz w:val="24"/>
              </w:rPr>
              <w:t xml:space="preserve"> se dorește</w:t>
            </w:r>
            <w:r w:rsidR="00A927E4" w:rsidRPr="00B62EB2">
              <w:rPr>
                <w:bCs/>
                <w:sz w:val="24"/>
              </w:rPr>
              <w:t xml:space="preserve"> atingerea următoarelor </w:t>
            </w:r>
            <w:r w:rsidR="00DF121C" w:rsidRPr="00B62EB2">
              <w:rPr>
                <w:bCs/>
                <w:sz w:val="24"/>
              </w:rPr>
              <w:t>o</w:t>
            </w:r>
            <w:r w:rsidR="00A927E4" w:rsidRPr="00B62EB2">
              <w:rPr>
                <w:bCs/>
                <w:sz w:val="24"/>
              </w:rPr>
              <w:t>biective:</w:t>
            </w:r>
          </w:p>
          <w:p w14:paraId="53CC066B" w14:textId="353E9991" w:rsidR="002E587A" w:rsidRPr="00B62EB2" w:rsidRDefault="00B163B4" w:rsidP="00B92EE2">
            <w:pPr>
              <w:pStyle w:val="TableParagraph"/>
              <w:numPr>
                <w:ilvl w:val="0"/>
                <w:numId w:val="9"/>
              </w:numPr>
              <w:spacing w:before="20"/>
              <w:ind w:left="0"/>
              <w:rPr>
                <w:bCs/>
                <w:sz w:val="24"/>
              </w:rPr>
            </w:pPr>
            <w:r w:rsidRPr="00B62EB2">
              <w:rPr>
                <w:bCs/>
                <w:sz w:val="24"/>
              </w:rPr>
              <w:t>Sporirea atractivității mecanismului „</w:t>
            </w:r>
            <w:r w:rsidR="00DF121C" w:rsidRPr="00B62EB2">
              <w:rPr>
                <w:bCs/>
                <w:sz w:val="24"/>
              </w:rPr>
              <w:t>f</w:t>
            </w:r>
            <w:r w:rsidRPr="00B62EB2">
              <w:rPr>
                <w:bCs/>
                <w:sz w:val="24"/>
              </w:rPr>
              <w:t xml:space="preserve">acturare netă” pentru consumatorii casnici, prin atribuirea unui </w:t>
            </w:r>
            <w:r w:rsidR="00A927E4" w:rsidRPr="00B62EB2">
              <w:rPr>
                <w:bCs/>
                <w:sz w:val="24"/>
              </w:rPr>
              <w:t>plafon minim individual de capacitate care ar asigura atractivitatea financiară a instalării panourilor financiare și recuperarea investițiilor într-un termen rezonabil</w:t>
            </w:r>
            <w:r w:rsidR="000A78D5" w:rsidRPr="00B62EB2">
              <w:rPr>
                <w:bCs/>
                <w:sz w:val="24"/>
              </w:rPr>
              <w:t xml:space="preserve"> de timp</w:t>
            </w:r>
            <w:r w:rsidR="007B38E2" w:rsidRPr="00B62EB2">
              <w:rPr>
                <w:bCs/>
                <w:sz w:val="24"/>
              </w:rPr>
              <w:t xml:space="preserve">. </w:t>
            </w:r>
            <w:r w:rsidR="002E587A" w:rsidRPr="00B62EB2">
              <w:rPr>
                <w:bCs/>
                <w:sz w:val="24"/>
              </w:rPr>
              <w:t xml:space="preserve">Proiectul de modificare își propune alocarea unui plafon de capacitate minim fix în valoare de până la </w:t>
            </w:r>
            <w:r w:rsidR="0043610B">
              <w:rPr>
                <w:bCs/>
                <w:sz w:val="24"/>
              </w:rPr>
              <w:t>10</w:t>
            </w:r>
            <w:r w:rsidR="002E587A" w:rsidRPr="00B62EB2">
              <w:rPr>
                <w:bCs/>
                <w:sz w:val="24"/>
              </w:rPr>
              <w:t xml:space="preserve"> kW </w:t>
            </w:r>
            <w:r w:rsidR="007B38E2" w:rsidRPr="00B62EB2">
              <w:rPr>
                <w:bCs/>
                <w:sz w:val="24"/>
              </w:rPr>
              <w:t xml:space="preserve">pentru consumatorii casnici. </w:t>
            </w:r>
          </w:p>
          <w:p w14:paraId="578915F8" w14:textId="3F975941" w:rsidR="00503815" w:rsidRPr="00B62EB2" w:rsidRDefault="00FB5D7E" w:rsidP="00B021FF">
            <w:pPr>
              <w:pStyle w:val="TableParagraph"/>
              <w:numPr>
                <w:ilvl w:val="0"/>
                <w:numId w:val="9"/>
              </w:numPr>
              <w:spacing w:before="20"/>
              <w:ind w:left="0"/>
              <w:rPr>
                <w:bCs/>
                <w:sz w:val="24"/>
              </w:rPr>
            </w:pPr>
            <w:r w:rsidRPr="00B62EB2">
              <w:rPr>
                <w:bCs/>
                <w:sz w:val="24"/>
              </w:rPr>
              <w:lastRenderedPageBreak/>
              <w:t xml:space="preserve">La stabilirea valorii </w:t>
            </w:r>
            <w:r w:rsidR="00082DA7" w:rsidRPr="00B62EB2">
              <w:rPr>
                <w:bCs/>
                <w:sz w:val="24"/>
              </w:rPr>
              <w:t xml:space="preserve">de </w:t>
            </w:r>
            <w:r w:rsidR="0043610B">
              <w:rPr>
                <w:bCs/>
                <w:sz w:val="24"/>
              </w:rPr>
              <w:t>10</w:t>
            </w:r>
            <w:r w:rsidR="00082DA7" w:rsidRPr="00B62EB2">
              <w:rPr>
                <w:bCs/>
                <w:sz w:val="24"/>
              </w:rPr>
              <w:t xml:space="preserve"> kW</w:t>
            </w:r>
            <w:r w:rsidRPr="00B62EB2">
              <w:rPr>
                <w:bCs/>
                <w:sz w:val="24"/>
              </w:rPr>
              <w:t xml:space="preserve"> a plafonului</w:t>
            </w:r>
            <w:r w:rsidR="0043610B">
              <w:rPr>
                <w:bCs/>
                <w:sz w:val="24"/>
              </w:rPr>
              <w:t xml:space="preserve"> de capacitate individual</w:t>
            </w:r>
            <w:r w:rsidR="00082DA7" w:rsidRPr="00B62EB2">
              <w:rPr>
                <w:bCs/>
                <w:sz w:val="24"/>
              </w:rPr>
              <w:t>, a</w:t>
            </w:r>
            <w:r w:rsidRPr="00B62EB2">
              <w:rPr>
                <w:bCs/>
                <w:sz w:val="24"/>
              </w:rPr>
              <w:t xml:space="preserve"> fost analizată puterea medie instalată a </w:t>
            </w:r>
            <w:r w:rsidR="00CD0016" w:rsidRPr="00B62EB2">
              <w:rPr>
                <w:bCs/>
                <w:sz w:val="24"/>
              </w:rPr>
              <w:t>consumatorilor</w:t>
            </w:r>
            <w:r w:rsidRPr="00B62EB2">
              <w:rPr>
                <w:bCs/>
                <w:sz w:val="24"/>
              </w:rPr>
              <w:t xml:space="preserve"> casnici beneficiari </w:t>
            </w:r>
            <w:r w:rsidR="00503815" w:rsidRPr="00B62EB2">
              <w:rPr>
                <w:bCs/>
                <w:sz w:val="24"/>
              </w:rPr>
              <w:t>ai mecanismului „facturare netă” de 5,4 kW</w:t>
            </w:r>
            <w:r w:rsidR="0043610B">
              <w:rPr>
                <w:bCs/>
                <w:sz w:val="24"/>
              </w:rPr>
              <w:t xml:space="preserve"> și respectiv impactul invertoarelor monofazate comparativ cu cele trifazate asupra rețelei dar și disponibilitatea acestora pe piață</w:t>
            </w:r>
            <w:r w:rsidR="00503815" w:rsidRPr="00B62EB2">
              <w:rPr>
                <w:bCs/>
                <w:sz w:val="24"/>
              </w:rPr>
              <w:t>.</w:t>
            </w:r>
          </w:p>
          <w:p w14:paraId="3C09FF83" w14:textId="36FEC428" w:rsidR="00503815" w:rsidRPr="00B62EB2" w:rsidRDefault="00503815" w:rsidP="00606974">
            <w:pPr>
              <w:pStyle w:val="TableParagraph"/>
              <w:spacing w:before="20"/>
              <w:ind w:left="0"/>
              <w:rPr>
                <w:bCs/>
                <w:sz w:val="24"/>
              </w:rPr>
            </w:pPr>
            <w:r w:rsidRPr="00B62EB2">
              <w:rPr>
                <w:bCs/>
                <w:sz w:val="24"/>
              </w:rPr>
              <w:t xml:space="preserve">O gospodărie casnică cu o putere instalată de </w:t>
            </w:r>
            <w:r w:rsidR="0043610B">
              <w:rPr>
                <w:bCs/>
                <w:sz w:val="24"/>
              </w:rPr>
              <w:t>10</w:t>
            </w:r>
            <w:r w:rsidRPr="00B62EB2">
              <w:rPr>
                <w:bCs/>
                <w:sz w:val="24"/>
              </w:rPr>
              <w:t xml:space="preserve"> kW poate alimenta majoritatea echipamentelor electrice utilizate zilnic, asigurând un echilibru între consum și producție. Mai jos este o listă cu principalele echipamente electrice și consumul lor aproximativ:</w:t>
            </w:r>
          </w:p>
          <w:p w14:paraId="669C1CEE" w14:textId="23A5FF64" w:rsidR="00503815" w:rsidRPr="00B62EB2" w:rsidRDefault="00503815" w:rsidP="00606974">
            <w:pPr>
              <w:pStyle w:val="TableParagraph"/>
              <w:spacing w:before="20"/>
              <w:rPr>
                <w:bCs/>
                <w:sz w:val="24"/>
              </w:rPr>
            </w:pPr>
            <w:r w:rsidRPr="00B62EB2">
              <w:rPr>
                <w:bCs/>
                <w:sz w:val="24"/>
              </w:rPr>
              <w:t>Electrocasnice esențiale:</w:t>
            </w:r>
          </w:p>
          <w:p w14:paraId="6571616D" w14:textId="388DAD7A" w:rsidR="00503815" w:rsidRPr="00B62EB2" w:rsidRDefault="00503815" w:rsidP="00503815">
            <w:pPr>
              <w:pStyle w:val="TableParagraph"/>
              <w:numPr>
                <w:ilvl w:val="0"/>
                <w:numId w:val="9"/>
              </w:numPr>
              <w:spacing w:before="20"/>
              <w:rPr>
                <w:bCs/>
                <w:sz w:val="24"/>
              </w:rPr>
            </w:pPr>
            <w:r w:rsidRPr="00B62EB2">
              <w:rPr>
                <w:bCs/>
                <w:sz w:val="24"/>
              </w:rPr>
              <w:t>Frigider + congelator – 100-300 W (funcționează intermitent)</w:t>
            </w:r>
          </w:p>
          <w:p w14:paraId="06369520" w14:textId="1E57786E" w:rsidR="00503815" w:rsidRPr="00B62EB2" w:rsidRDefault="00503815" w:rsidP="00503815">
            <w:pPr>
              <w:pStyle w:val="TableParagraph"/>
              <w:numPr>
                <w:ilvl w:val="0"/>
                <w:numId w:val="9"/>
              </w:numPr>
              <w:spacing w:before="20"/>
              <w:rPr>
                <w:bCs/>
                <w:sz w:val="24"/>
              </w:rPr>
            </w:pPr>
            <w:r w:rsidRPr="00B62EB2">
              <w:rPr>
                <w:bCs/>
                <w:sz w:val="24"/>
              </w:rPr>
              <w:t>Mașină de spălat rufe – 2.000 W (ciclic, 1-2 ore per utilizare)</w:t>
            </w:r>
          </w:p>
          <w:p w14:paraId="63525DE6" w14:textId="46D47438" w:rsidR="00503815" w:rsidRPr="00B62EB2" w:rsidRDefault="00503815" w:rsidP="00503815">
            <w:pPr>
              <w:pStyle w:val="TableParagraph"/>
              <w:numPr>
                <w:ilvl w:val="0"/>
                <w:numId w:val="9"/>
              </w:numPr>
              <w:spacing w:before="20"/>
              <w:rPr>
                <w:bCs/>
                <w:sz w:val="24"/>
              </w:rPr>
            </w:pPr>
            <w:r w:rsidRPr="00B62EB2">
              <w:rPr>
                <w:bCs/>
                <w:sz w:val="24"/>
              </w:rPr>
              <w:t>Mașină de spălat vase – 1.500-2.000 W (ciclic)</w:t>
            </w:r>
          </w:p>
          <w:p w14:paraId="2EE5A385" w14:textId="780C805C" w:rsidR="00503815" w:rsidRPr="00B62EB2" w:rsidRDefault="00503815" w:rsidP="00503815">
            <w:pPr>
              <w:pStyle w:val="TableParagraph"/>
              <w:numPr>
                <w:ilvl w:val="0"/>
                <w:numId w:val="9"/>
              </w:numPr>
              <w:spacing w:before="20"/>
              <w:rPr>
                <w:bCs/>
                <w:sz w:val="24"/>
              </w:rPr>
            </w:pPr>
            <w:r w:rsidRPr="00B62EB2">
              <w:rPr>
                <w:bCs/>
                <w:sz w:val="24"/>
              </w:rPr>
              <w:t>Cuptor electric – 2.000-3.000 W (utilizat ocazional)</w:t>
            </w:r>
          </w:p>
          <w:p w14:paraId="4A278C09" w14:textId="15A602EB" w:rsidR="00503815" w:rsidRPr="00B62EB2" w:rsidRDefault="00503815" w:rsidP="00503815">
            <w:pPr>
              <w:pStyle w:val="TableParagraph"/>
              <w:numPr>
                <w:ilvl w:val="0"/>
                <w:numId w:val="9"/>
              </w:numPr>
              <w:spacing w:before="20"/>
              <w:rPr>
                <w:bCs/>
                <w:sz w:val="24"/>
              </w:rPr>
            </w:pPr>
            <w:r w:rsidRPr="00B62EB2">
              <w:rPr>
                <w:bCs/>
                <w:sz w:val="24"/>
              </w:rPr>
              <w:t>Plită electrică – 1.000</w:t>
            </w:r>
            <w:r w:rsidR="00B62EB2">
              <w:rPr>
                <w:bCs/>
                <w:sz w:val="24"/>
              </w:rPr>
              <w:t xml:space="preserve"> </w:t>
            </w:r>
            <w:r w:rsidRPr="00B62EB2">
              <w:rPr>
                <w:bCs/>
                <w:sz w:val="24"/>
              </w:rPr>
              <w:t>-</w:t>
            </w:r>
            <w:r w:rsidR="00B62EB2">
              <w:rPr>
                <w:bCs/>
                <w:sz w:val="24"/>
              </w:rPr>
              <w:t xml:space="preserve"> </w:t>
            </w:r>
            <w:r w:rsidRPr="00B62EB2">
              <w:rPr>
                <w:bCs/>
                <w:sz w:val="24"/>
              </w:rPr>
              <w:t>2.000 W per arzător (dar rareori toate simultan)</w:t>
            </w:r>
          </w:p>
          <w:p w14:paraId="67FB5073" w14:textId="0C1F0575" w:rsidR="00503815" w:rsidRPr="00B62EB2" w:rsidRDefault="00503815" w:rsidP="00503815">
            <w:pPr>
              <w:pStyle w:val="TableParagraph"/>
              <w:numPr>
                <w:ilvl w:val="0"/>
                <w:numId w:val="9"/>
              </w:numPr>
              <w:spacing w:before="20"/>
              <w:rPr>
                <w:bCs/>
                <w:sz w:val="24"/>
              </w:rPr>
            </w:pPr>
            <w:r w:rsidRPr="00B62EB2">
              <w:rPr>
                <w:bCs/>
                <w:sz w:val="24"/>
              </w:rPr>
              <w:t>Cuptor cu microunde – 800-1.500 W</w:t>
            </w:r>
          </w:p>
          <w:p w14:paraId="4C0D5F00" w14:textId="58FA8114" w:rsidR="00503815" w:rsidRPr="00B62EB2" w:rsidRDefault="00503815" w:rsidP="00503815">
            <w:pPr>
              <w:pStyle w:val="TableParagraph"/>
              <w:numPr>
                <w:ilvl w:val="0"/>
                <w:numId w:val="9"/>
              </w:numPr>
              <w:spacing w:before="20"/>
              <w:rPr>
                <w:bCs/>
                <w:sz w:val="24"/>
              </w:rPr>
            </w:pPr>
            <w:r w:rsidRPr="00B62EB2">
              <w:rPr>
                <w:bCs/>
                <w:sz w:val="24"/>
              </w:rPr>
              <w:t>Fierbător de apă – 1.500-2.000 W (scurtă durată)</w:t>
            </w:r>
          </w:p>
          <w:p w14:paraId="3802557F" w14:textId="77777777" w:rsidR="00503815" w:rsidRPr="00B62EB2" w:rsidRDefault="00503815" w:rsidP="00606974">
            <w:pPr>
              <w:pStyle w:val="TableParagraph"/>
              <w:spacing w:before="20"/>
              <w:rPr>
                <w:bCs/>
                <w:sz w:val="24"/>
              </w:rPr>
            </w:pPr>
            <w:r w:rsidRPr="00B62EB2">
              <w:rPr>
                <w:bCs/>
                <w:sz w:val="24"/>
              </w:rPr>
              <w:t>Iluminat și aparate electronice</w:t>
            </w:r>
          </w:p>
          <w:p w14:paraId="4EAEA366" w14:textId="76E66387" w:rsidR="00503815" w:rsidRPr="00B62EB2" w:rsidRDefault="00503815" w:rsidP="00503815">
            <w:pPr>
              <w:pStyle w:val="TableParagraph"/>
              <w:numPr>
                <w:ilvl w:val="0"/>
                <w:numId w:val="9"/>
              </w:numPr>
              <w:spacing w:before="20"/>
              <w:rPr>
                <w:bCs/>
                <w:sz w:val="24"/>
              </w:rPr>
            </w:pPr>
            <w:r w:rsidRPr="00B62EB2">
              <w:rPr>
                <w:bCs/>
                <w:sz w:val="24"/>
              </w:rPr>
              <w:t>Televizor LED – 50-150 W</w:t>
            </w:r>
          </w:p>
          <w:p w14:paraId="726A2910" w14:textId="2B600DB6" w:rsidR="00503815" w:rsidRPr="00B62EB2" w:rsidRDefault="00503815" w:rsidP="00503815">
            <w:pPr>
              <w:pStyle w:val="TableParagraph"/>
              <w:numPr>
                <w:ilvl w:val="0"/>
                <w:numId w:val="9"/>
              </w:numPr>
              <w:spacing w:before="20"/>
              <w:rPr>
                <w:bCs/>
                <w:sz w:val="24"/>
              </w:rPr>
            </w:pPr>
            <w:r w:rsidRPr="00B62EB2">
              <w:rPr>
                <w:bCs/>
                <w:sz w:val="24"/>
              </w:rPr>
              <w:t>Laptop / Computer – 50-300 W</w:t>
            </w:r>
          </w:p>
          <w:p w14:paraId="013E3A1C" w14:textId="39412EC7" w:rsidR="00503815" w:rsidRPr="00B62EB2" w:rsidRDefault="00503815" w:rsidP="00503815">
            <w:pPr>
              <w:pStyle w:val="TableParagraph"/>
              <w:numPr>
                <w:ilvl w:val="0"/>
                <w:numId w:val="9"/>
              </w:numPr>
              <w:spacing w:before="20"/>
              <w:rPr>
                <w:bCs/>
                <w:sz w:val="24"/>
              </w:rPr>
            </w:pPr>
            <w:r w:rsidRPr="00B62EB2">
              <w:rPr>
                <w:bCs/>
                <w:sz w:val="24"/>
              </w:rPr>
              <w:t>Sistem audio – 50-200 W</w:t>
            </w:r>
          </w:p>
          <w:p w14:paraId="220E7753" w14:textId="027DA7C6" w:rsidR="00503815" w:rsidRPr="00B62EB2" w:rsidRDefault="00503815" w:rsidP="00503815">
            <w:pPr>
              <w:pStyle w:val="TableParagraph"/>
              <w:numPr>
                <w:ilvl w:val="0"/>
                <w:numId w:val="9"/>
              </w:numPr>
              <w:spacing w:before="20"/>
              <w:rPr>
                <w:bCs/>
                <w:sz w:val="24"/>
              </w:rPr>
            </w:pPr>
            <w:r w:rsidRPr="00B62EB2">
              <w:rPr>
                <w:bCs/>
                <w:sz w:val="24"/>
              </w:rPr>
              <w:t>Iluminat LED – 5-15 W per bec (total 200-400 W pentru o casă)</w:t>
            </w:r>
          </w:p>
          <w:p w14:paraId="2004806C" w14:textId="77777777" w:rsidR="00503815" w:rsidRPr="00B62EB2" w:rsidRDefault="00503815" w:rsidP="00606974">
            <w:pPr>
              <w:pStyle w:val="TableParagraph"/>
              <w:spacing w:before="20"/>
              <w:rPr>
                <w:bCs/>
                <w:sz w:val="24"/>
              </w:rPr>
            </w:pPr>
            <w:r w:rsidRPr="00B62EB2">
              <w:rPr>
                <w:bCs/>
                <w:sz w:val="24"/>
              </w:rPr>
              <w:t>Climatizare și confort</w:t>
            </w:r>
          </w:p>
          <w:p w14:paraId="384B42F9" w14:textId="0D2AE5B6" w:rsidR="00503815" w:rsidRPr="00B62EB2" w:rsidRDefault="00503815" w:rsidP="00503815">
            <w:pPr>
              <w:pStyle w:val="TableParagraph"/>
              <w:numPr>
                <w:ilvl w:val="0"/>
                <w:numId w:val="9"/>
              </w:numPr>
              <w:spacing w:before="20"/>
              <w:rPr>
                <w:bCs/>
                <w:sz w:val="24"/>
              </w:rPr>
            </w:pPr>
            <w:r w:rsidRPr="00B62EB2">
              <w:rPr>
                <w:bCs/>
                <w:sz w:val="24"/>
              </w:rPr>
              <w:t>Aer condiționat – 700-2.500 W (în funcție de model)</w:t>
            </w:r>
          </w:p>
          <w:p w14:paraId="6FF3C28E" w14:textId="55DAFF89" w:rsidR="00503815" w:rsidRPr="00B62EB2" w:rsidRDefault="00503815" w:rsidP="00503815">
            <w:pPr>
              <w:pStyle w:val="TableParagraph"/>
              <w:numPr>
                <w:ilvl w:val="0"/>
                <w:numId w:val="9"/>
              </w:numPr>
              <w:spacing w:before="20"/>
              <w:rPr>
                <w:bCs/>
                <w:sz w:val="24"/>
              </w:rPr>
            </w:pPr>
            <w:r w:rsidRPr="00B62EB2">
              <w:rPr>
                <w:bCs/>
                <w:sz w:val="24"/>
              </w:rPr>
              <w:t>Ventilator – 50-100 W</w:t>
            </w:r>
          </w:p>
          <w:p w14:paraId="24569BB5" w14:textId="0438D0A3" w:rsidR="00503815" w:rsidRPr="00B62EB2" w:rsidRDefault="00503815" w:rsidP="00503815">
            <w:pPr>
              <w:pStyle w:val="TableParagraph"/>
              <w:numPr>
                <w:ilvl w:val="0"/>
                <w:numId w:val="9"/>
              </w:numPr>
              <w:spacing w:before="20"/>
              <w:rPr>
                <w:bCs/>
                <w:sz w:val="24"/>
              </w:rPr>
            </w:pPr>
            <w:r w:rsidRPr="00B62EB2">
              <w:rPr>
                <w:bCs/>
                <w:sz w:val="24"/>
              </w:rPr>
              <w:t>Boiler electric (instant) – 2.000-3.000 W (dar nu funcționează continuu)</w:t>
            </w:r>
          </w:p>
          <w:p w14:paraId="29A023E1" w14:textId="77777777" w:rsidR="00503815" w:rsidRPr="00B62EB2" w:rsidRDefault="00503815" w:rsidP="00606974">
            <w:pPr>
              <w:pStyle w:val="TableParagraph"/>
              <w:spacing w:before="20"/>
              <w:rPr>
                <w:bCs/>
                <w:sz w:val="24"/>
              </w:rPr>
            </w:pPr>
            <w:r w:rsidRPr="00B62EB2">
              <w:rPr>
                <w:bCs/>
                <w:sz w:val="24"/>
              </w:rPr>
              <w:t>Echipamente mici și alte consumatori</w:t>
            </w:r>
          </w:p>
          <w:p w14:paraId="68E715CA" w14:textId="3873A981" w:rsidR="00503815" w:rsidRPr="00B62EB2" w:rsidRDefault="00503815" w:rsidP="00503815">
            <w:pPr>
              <w:pStyle w:val="TableParagraph"/>
              <w:numPr>
                <w:ilvl w:val="0"/>
                <w:numId w:val="9"/>
              </w:numPr>
              <w:spacing w:before="20"/>
              <w:rPr>
                <w:bCs/>
                <w:sz w:val="24"/>
              </w:rPr>
            </w:pPr>
            <w:r w:rsidRPr="00B62EB2">
              <w:rPr>
                <w:bCs/>
                <w:sz w:val="24"/>
              </w:rPr>
              <w:t>Aspirator – 800-1.500 W (utilizat ocazional)</w:t>
            </w:r>
          </w:p>
          <w:p w14:paraId="088B5FDC" w14:textId="4AA603BE" w:rsidR="00503815" w:rsidRPr="00B62EB2" w:rsidRDefault="00503815" w:rsidP="00503815">
            <w:pPr>
              <w:pStyle w:val="TableParagraph"/>
              <w:numPr>
                <w:ilvl w:val="0"/>
                <w:numId w:val="9"/>
              </w:numPr>
              <w:spacing w:before="20"/>
              <w:rPr>
                <w:bCs/>
                <w:sz w:val="24"/>
              </w:rPr>
            </w:pPr>
            <w:r w:rsidRPr="00B62EB2">
              <w:rPr>
                <w:bCs/>
                <w:sz w:val="24"/>
              </w:rPr>
              <w:t>Mașină de călcat – 1.000-2.500 W (pe durate scurte)</w:t>
            </w:r>
          </w:p>
          <w:p w14:paraId="3C02239C" w14:textId="0D2A7249" w:rsidR="00503815" w:rsidRPr="00B62EB2" w:rsidRDefault="00503815" w:rsidP="00503815">
            <w:pPr>
              <w:pStyle w:val="TableParagraph"/>
              <w:numPr>
                <w:ilvl w:val="0"/>
                <w:numId w:val="9"/>
              </w:numPr>
              <w:spacing w:before="20"/>
              <w:rPr>
                <w:bCs/>
                <w:sz w:val="24"/>
              </w:rPr>
            </w:pPr>
            <w:r w:rsidRPr="00B62EB2">
              <w:rPr>
                <w:bCs/>
                <w:sz w:val="24"/>
              </w:rPr>
              <w:t>Pompe de apă – 500-1.500 W (dacă este o casă cu fântână)</w:t>
            </w:r>
          </w:p>
          <w:p w14:paraId="391CE4EC" w14:textId="559AE670" w:rsidR="00503815" w:rsidRPr="00B62EB2" w:rsidRDefault="00503815" w:rsidP="00606974">
            <w:pPr>
              <w:pStyle w:val="TableParagraph"/>
              <w:spacing w:before="20"/>
              <w:rPr>
                <w:bCs/>
                <w:sz w:val="24"/>
              </w:rPr>
            </w:pPr>
            <w:r w:rsidRPr="00B62EB2">
              <w:rPr>
                <w:bCs/>
                <w:sz w:val="24"/>
              </w:rPr>
              <w:t xml:space="preserve">De ce </w:t>
            </w:r>
            <w:r w:rsidR="0043610B">
              <w:rPr>
                <w:bCs/>
                <w:sz w:val="24"/>
              </w:rPr>
              <w:t>10</w:t>
            </w:r>
            <w:r w:rsidRPr="00B62EB2">
              <w:rPr>
                <w:bCs/>
                <w:sz w:val="24"/>
              </w:rPr>
              <w:t xml:space="preserve"> kW sunt suficienți?</w:t>
            </w:r>
          </w:p>
          <w:p w14:paraId="248715FE" w14:textId="77777777" w:rsidR="00503815" w:rsidRPr="00B62EB2" w:rsidRDefault="00503815" w:rsidP="00503815">
            <w:pPr>
              <w:pStyle w:val="TableParagraph"/>
              <w:numPr>
                <w:ilvl w:val="0"/>
                <w:numId w:val="9"/>
              </w:numPr>
              <w:spacing w:before="20"/>
              <w:rPr>
                <w:bCs/>
                <w:sz w:val="24"/>
              </w:rPr>
            </w:pPr>
            <w:r w:rsidRPr="00B62EB2">
              <w:rPr>
                <w:rFonts w:ascii="Segoe UI Emoji" w:hAnsi="Segoe UI Emoji" w:cs="Segoe UI Emoji"/>
                <w:bCs/>
                <w:sz w:val="24"/>
              </w:rPr>
              <w:t>✅</w:t>
            </w:r>
            <w:r w:rsidRPr="00B62EB2">
              <w:rPr>
                <w:bCs/>
                <w:sz w:val="24"/>
              </w:rPr>
              <w:t xml:space="preserve"> În mod obișnuit, majoritatea acestor echipamente nu funcționează simultan.</w:t>
            </w:r>
          </w:p>
          <w:p w14:paraId="6D636618" w14:textId="4257ECAA" w:rsidR="00503815" w:rsidRPr="00B62EB2" w:rsidRDefault="00503815" w:rsidP="00503815">
            <w:pPr>
              <w:pStyle w:val="TableParagraph"/>
              <w:numPr>
                <w:ilvl w:val="0"/>
                <w:numId w:val="9"/>
              </w:numPr>
              <w:spacing w:before="20"/>
              <w:rPr>
                <w:bCs/>
                <w:sz w:val="24"/>
              </w:rPr>
            </w:pPr>
            <w:r w:rsidRPr="00B62EB2">
              <w:rPr>
                <w:rFonts w:ascii="Segoe UI Emoji" w:hAnsi="Segoe UI Emoji" w:cs="Segoe UI Emoji"/>
                <w:bCs/>
                <w:sz w:val="24"/>
              </w:rPr>
              <w:t>✅</w:t>
            </w:r>
            <w:r w:rsidRPr="00B62EB2">
              <w:rPr>
                <w:bCs/>
                <w:sz w:val="24"/>
              </w:rPr>
              <w:t xml:space="preserve"> La un consum echilibrat, </w:t>
            </w:r>
            <w:r w:rsidR="0043610B">
              <w:rPr>
                <w:bCs/>
                <w:sz w:val="24"/>
              </w:rPr>
              <w:t>10</w:t>
            </w:r>
            <w:r w:rsidRPr="00B62EB2">
              <w:rPr>
                <w:bCs/>
                <w:sz w:val="24"/>
              </w:rPr>
              <w:t xml:space="preserve"> kW pot acoperi toate necesitățile zilnice ale unei gospodării.</w:t>
            </w:r>
          </w:p>
          <w:p w14:paraId="4673D9A8" w14:textId="182C71EF" w:rsidR="00503815" w:rsidRDefault="00503815" w:rsidP="00503815">
            <w:pPr>
              <w:pStyle w:val="TableParagraph"/>
              <w:numPr>
                <w:ilvl w:val="0"/>
                <w:numId w:val="9"/>
              </w:numPr>
              <w:spacing w:before="20"/>
              <w:rPr>
                <w:bCs/>
                <w:sz w:val="24"/>
              </w:rPr>
            </w:pPr>
            <w:r w:rsidRPr="00B62EB2">
              <w:rPr>
                <w:rFonts w:ascii="Segoe UI Emoji" w:hAnsi="Segoe UI Emoji" w:cs="Segoe UI Emoji"/>
                <w:bCs/>
                <w:sz w:val="24"/>
              </w:rPr>
              <w:t>✅</w:t>
            </w:r>
            <w:r w:rsidRPr="00B62EB2">
              <w:rPr>
                <w:bCs/>
                <w:sz w:val="24"/>
              </w:rPr>
              <w:t xml:space="preserve"> Dacă sunt utilizate eficient, chiar și un sistem fotovoltaic de </w:t>
            </w:r>
            <w:r w:rsidR="0043610B">
              <w:rPr>
                <w:bCs/>
                <w:sz w:val="24"/>
              </w:rPr>
              <w:t>10</w:t>
            </w:r>
            <w:r w:rsidRPr="00B62EB2">
              <w:rPr>
                <w:bCs/>
                <w:sz w:val="24"/>
              </w:rPr>
              <w:t xml:space="preserve"> kW poate asigura o mare parte din consum.</w:t>
            </w:r>
          </w:p>
          <w:p w14:paraId="4B56C97A" w14:textId="1753DEFA" w:rsidR="0043610B" w:rsidRPr="00B62EB2" w:rsidRDefault="0043610B" w:rsidP="00503815">
            <w:pPr>
              <w:pStyle w:val="TableParagraph"/>
              <w:numPr>
                <w:ilvl w:val="0"/>
                <w:numId w:val="9"/>
              </w:numPr>
              <w:spacing w:before="20"/>
              <w:rPr>
                <w:bCs/>
                <w:sz w:val="24"/>
              </w:rPr>
            </w:pPr>
            <w:r w:rsidRPr="00B62EB2">
              <w:rPr>
                <w:rFonts w:ascii="Segoe UI Emoji" w:hAnsi="Segoe UI Emoji" w:cs="Segoe UI Emoji"/>
                <w:bCs/>
                <w:sz w:val="24"/>
              </w:rPr>
              <w:t>✅</w:t>
            </w:r>
            <w:r>
              <w:rPr>
                <w:rFonts w:ascii="Segoe UI Emoji" w:hAnsi="Segoe UI Emoji" w:cs="Segoe UI Emoji"/>
                <w:bCs/>
                <w:sz w:val="24"/>
              </w:rPr>
              <w:t xml:space="preserve"> </w:t>
            </w:r>
            <w:r w:rsidRPr="0043610B">
              <w:rPr>
                <w:bCs/>
                <w:sz w:val="24"/>
              </w:rPr>
              <w:t>Oferă posibilitatea instălării pompei de căldură</w:t>
            </w:r>
          </w:p>
          <w:p w14:paraId="787DBB0A" w14:textId="5A66429D" w:rsidR="00082DA7" w:rsidRPr="00B62EB2" w:rsidRDefault="00503815" w:rsidP="00B62EB2">
            <w:pPr>
              <w:pStyle w:val="TableParagraph"/>
              <w:spacing w:before="20"/>
              <w:rPr>
                <w:bCs/>
                <w:sz w:val="24"/>
              </w:rPr>
            </w:pPr>
            <w:r w:rsidRPr="00B62EB2">
              <w:rPr>
                <w:bCs/>
                <w:sz w:val="24"/>
              </w:rPr>
              <w:t>Dacă gospodăria are necesități mai mari (ex. pompe de căldură, mai multe aparate puternice folosite simultan</w:t>
            </w:r>
            <w:r w:rsidR="00580BB3" w:rsidRPr="00B62EB2">
              <w:rPr>
                <w:bCs/>
                <w:sz w:val="24"/>
              </w:rPr>
              <w:t>, stație de încărcare a vehiculelor electrice</w:t>
            </w:r>
            <w:r w:rsidRPr="00B62EB2">
              <w:rPr>
                <w:bCs/>
                <w:sz w:val="24"/>
              </w:rPr>
              <w:t>), se poate justifica un necesar mai mare pe baza istoricului de consum.</w:t>
            </w:r>
          </w:p>
          <w:p w14:paraId="2A881F0E" w14:textId="77777777" w:rsidR="00B62EB2" w:rsidRPr="00B62EB2" w:rsidRDefault="00B62EB2" w:rsidP="00606974">
            <w:pPr>
              <w:pStyle w:val="TableParagraph"/>
              <w:spacing w:before="20"/>
              <w:rPr>
                <w:bCs/>
                <w:sz w:val="24"/>
              </w:rPr>
            </w:pPr>
          </w:p>
          <w:p w14:paraId="04A1601C" w14:textId="750F8AA9" w:rsidR="004B6E6B" w:rsidRPr="00B62EB2" w:rsidRDefault="00DF121C" w:rsidP="009E0360">
            <w:pPr>
              <w:pStyle w:val="TableParagraph"/>
              <w:numPr>
                <w:ilvl w:val="0"/>
                <w:numId w:val="9"/>
              </w:numPr>
              <w:spacing w:before="20"/>
              <w:rPr>
                <w:bCs/>
                <w:sz w:val="24"/>
              </w:rPr>
            </w:pPr>
            <w:r w:rsidRPr="00B62EB2">
              <w:rPr>
                <w:bCs/>
                <w:sz w:val="24"/>
              </w:rPr>
              <w:t>Re</w:t>
            </w:r>
            <w:r w:rsidR="00A927E4" w:rsidRPr="00B62EB2">
              <w:rPr>
                <w:bCs/>
                <w:sz w:val="24"/>
              </w:rPr>
              <w:t>ducerea efectului supradimensionării de către consumatorii casnici a puterii contractate pentru</w:t>
            </w:r>
            <w:r w:rsidRPr="00B62EB2">
              <w:rPr>
                <w:bCs/>
                <w:sz w:val="24"/>
              </w:rPr>
              <w:t xml:space="preserve"> a permite accesul mai multor doritori să beneficieze de mecanismul „</w:t>
            </w:r>
            <w:r w:rsidR="00CD0016" w:rsidRPr="00B62EB2">
              <w:rPr>
                <w:bCs/>
                <w:sz w:val="24"/>
              </w:rPr>
              <w:t>facturare</w:t>
            </w:r>
            <w:r w:rsidRPr="00B62EB2">
              <w:rPr>
                <w:bCs/>
                <w:sz w:val="24"/>
              </w:rPr>
              <w:t xml:space="preserve"> netă”</w:t>
            </w:r>
            <w:r w:rsidR="0034588F" w:rsidRPr="00B62EB2">
              <w:rPr>
                <w:bCs/>
                <w:sz w:val="24"/>
              </w:rPr>
              <w:t xml:space="preserve"> prin excluderea din formula de calcul a plafonului de capacitate </w:t>
            </w:r>
            <w:r w:rsidR="00CD0016" w:rsidRPr="00B62EB2">
              <w:rPr>
                <w:bCs/>
                <w:sz w:val="24"/>
              </w:rPr>
              <w:t>individuală</w:t>
            </w:r>
            <w:r w:rsidR="0034588F" w:rsidRPr="00B62EB2">
              <w:rPr>
                <w:bCs/>
                <w:sz w:val="24"/>
              </w:rPr>
              <w:t xml:space="preserve"> a posibilității </w:t>
            </w:r>
            <w:r w:rsidR="00CD0016" w:rsidRPr="00B62EB2">
              <w:rPr>
                <w:bCs/>
                <w:sz w:val="24"/>
              </w:rPr>
              <w:t>calculului</w:t>
            </w:r>
            <w:r w:rsidR="0034588F" w:rsidRPr="00B62EB2">
              <w:rPr>
                <w:bCs/>
                <w:sz w:val="24"/>
              </w:rPr>
              <w:t xml:space="preserve"> acestuia utilizând </w:t>
            </w:r>
            <w:r w:rsidR="009E0360" w:rsidRPr="00B62EB2">
              <w:rPr>
                <w:bCs/>
                <w:sz w:val="24"/>
              </w:rPr>
              <w:t>valoarea puterii contractate</w:t>
            </w:r>
            <w:r w:rsidR="001C1BD0" w:rsidRPr="00B62EB2">
              <w:rPr>
                <w:bCs/>
                <w:sz w:val="24"/>
              </w:rPr>
              <w:t>;</w:t>
            </w:r>
          </w:p>
          <w:p w14:paraId="622219E4" w14:textId="3AF576A4" w:rsidR="001C1BD0" w:rsidRPr="00B62EB2" w:rsidRDefault="00513516" w:rsidP="001C1BD0">
            <w:pPr>
              <w:pStyle w:val="TableParagraph"/>
              <w:numPr>
                <w:ilvl w:val="0"/>
                <w:numId w:val="9"/>
              </w:numPr>
              <w:spacing w:before="20"/>
              <w:rPr>
                <w:bCs/>
                <w:sz w:val="24"/>
              </w:rPr>
            </w:pPr>
            <w:r w:rsidRPr="00B62EB2">
              <w:rPr>
                <w:bCs/>
                <w:sz w:val="24"/>
              </w:rPr>
              <w:t xml:space="preserve">Valorificarea până la sfârșitul anului curent a capacității de 100 MW </w:t>
            </w:r>
            <w:r w:rsidR="0022225E" w:rsidRPr="00B62EB2">
              <w:rPr>
                <w:bCs/>
                <w:sz w:val="24"/>
              </w:rPr>
              <w:t>alocate pentru mecanismul  facturare netă prin excluderea categoriilor de consumator</w:t>
            </w:r>
            <w:r w:rsidR="007E0379" w:rsidRPr="00B62EB2">
              <w:rPr>
                <w:bCs/>
                <w:sz w:val="24"/>
              </w:rPr>
              <w:t>i</w:t>
            </w:r>
            <w:r w:rsidR="007B38E2" w:rsidRPr="00B62EB2">
              <w:rPr>
                <w:bCs/>
                <w:sz w:val="24"/>
              </w:rPr>
              <w:t>;</w:t>
            </w:r>
          </w:p>
          <w:p w14:paraId="64FA515C" w14:textId="77777777" w:rsidR="002E587A" w:rsidRDefault="008219D4" w:rsidP="001C1BD0">
            <w:pPr>
              <w:pStyle w:val="TableParagraph"/>
              <w:numPr>
                <w:ilvl w:val="0"/>
                <w:numId w:val="9"/>
              </w:numPr>
              <w:spacing w:before="20"/>
              <w:rPr>
                <w:bCs/>
                <w:sz w:val="24"/>
              </w:rPr>
            </w:pPr>
            <w:r w:rsidRPr="00B62EB2">
              <w:rPr>
                <w:bCs/>
                <w:sz w:val="24"/>
              </w:rPr>
              <w:t xml:space="preserve">Introducerea centralelor electrice eoliene </w:t>
            </w:r>
            <w:r w:rsidR="004E55BD" w:rsidRPr="00B62EB2">
              <w:rPr>
                <w:bCs/>
                <w:sz w:val="24"/>
              </w:rPr>
              <w:t xml:space="preserve">în lista tehnologiilor pentru care </w:t>
            </w:r>
            <w:r w:rsidR="00EF0106" w:rsidRPr="00B62EB2">
              <w:rPr>
                <w:bCs/>
                <w:sz w:val="24"/>
              </w:rPr>
              <w:t xml:space="preserve">se poate aplica „facturarea </w:t>
            </w:r>
            <w:r w:rsidR="00EF0106" w:rsidRPr="00B62EB2">
              <w:rPr>
                <w:bCs/>
                <w:sz w:val="24"/>
              </w:rPr>
              <w:lastRenderedPageBreak/>
              <w:t>netă”.</w:t>
            </w:r>
          </w:p>
          <w:p w14:paraId="3A0FA078" w14:textId="7FFCA6AE" w:rsidR="0043610B" w:rsidRDefault="0043610B" w:rsidP="0043610B">
            <w:pPr>
              <w:pStyle w:val="TableParagraph"/>
              <w:numPr>
                <w:ilvl w:val="0"/>
                <w:numId w:val="9"/>
              </w:numPr>
              <w:spacing w:before="20"/>
              <w:rPr>
                <w:bCs/>
                <w:sz w:val="24"/>
              </w:rPr>
            </w:pPr>
            <w:r w:rsidRPr="00B62EB2">
              <w:rPr>
                <w:bCs/>
                <w:sz w:val="24"/>
              </w:rPr>
              <w:t xml:space="preserve">Introducerea </w:t>
            </w:r>
            <w:r w:rsidR="006E1358">
              <w:rPr>
                <w:bCs/>
                <w:sz w:val="24"/>
              </w:rPr>
              <w:t>instalațiilor</w:t>
            </w:r>
            <w:r w:rsidR="009073C0">
              <w:rPr>
                <w:bCs/>
                <w:sz w:val="24"/>
              </w:rPr>
              <w:t xml:space="preserve"> de</w:t>
            </w:r>
            <w:r>
              <w:rPr>
                <w:bCs/>
                <w:sz w:val="24"/>
              </w:rPr>
              <w:t xml:space="preserve"> biogaz</w:t>
            </w:r>
            <w:r w:rsidRPr="00B62EB2">
              <w:rPr>
                <w:bCs/>
                <w:sz w:val="24"/>
              </w:rPr>
              <w:t xml:space="preserve"> în lista tehnologiilor pentru care se poate aplica „</w:t>
            </w:r>
            <w:r w:rsidRPr="0043610B">
              <w:rPr>
                <w:bCs/>
                <w:i/>
                <w:iCs/>
                <w:sz w:val="24"/>
              </w:rPr>
              <w:t>facturarea netă</w:t>
            </w:r>
            <w:r w:rsidRPr="00B62EB2">
              <w:rPr>
                <w:bCs/>
                <w:sz w:val="24"/>
              </w:rPr>
              <w:t>”.</w:t>
            </w:r>
          </w:p>
          <w:p w14:paraId="4F26E46F" w14:textId="77777777" w:rsidR="0043610B" w:rsidRDefault="0043610B" w:rsidP="0043610B">
            <w:pPr>
              <w:pStyle w:val="TableParagraph"/>
              <w:spacing w:before="20"/>
              <w:ind w:left="407"/>
              <w:rPr>
                <w:bCs/>
                <w:sz w:val="24"/>
              </w:rPr>
            </w:pPr>
          </w:p>
          <w:p w14:paraId="01A3CD4E" w14:textId="41F94D49" w:rsidR="0094658B" w:rsidRDefault="0094658B" w:rsidP="0094658B">
            <w:pPr>
              <w:pStyle w:val="TableParagraph"/>
              <w:spacing w:before="20"/>
              <w:rPr>
                <w:bCs/>
                <w:sz w:val="24"/>
              </w:rPr>
            </w:pPr>
            <w:r>
              <w:rPr>
                <w:bCs/>
                <w:sz w:val="24"/>
              </w:rPr>
              <w:t xml:space="preserve">Totodată, merită a fi menționat </w:t>
            </w:r>
            <w:r w:rsidRPr="0094658B">
              <w:rPr>
                <w:bCs/>
                <w:sz w:val="24"/>
              </w:rPr>
              <w:t>impactul potențial al invertoarelor monofazate și trifazate asupra calității tensiunii în rețea. Invertoarele monofazate, utilizate în instalațiile de capacitate mică (</w:t>
            </w:r>
            <w:r w:rsidRPr="0094658B">
              <w:rPr>
                <w:bCs/>
                <w:i/>
                <w:iCs/>
                <w:sz w:val="24"/>
              </w:rPr>
              <w:t>până la 6 kW</w:t>
            </w:r>
            <w:r w:rsidRPr="0094658B">
              <w:rPr>
                <w:bCs/>
                <w:sz w:val="24"/>
              </w:rPr>
              <w:t>), pot crea dezechilibre între fazele rețelei, influențând negativ stabilitatea tensiunii și afectând performanța echipamentelor sensibile.</w:t>
            </w:r>
            <w:r>
              <w:rPr>
                <w:bCs/>
                <w:sz w:val="24"/>
              </w:rPr>
              <w:t xml:space="preserve"> I</w:t>
            </w:r>
            <w:r w:rsidRPr="0094658B">
              <w:rPr>
                <w:bCs/>
                <w:sz w:val="24"/>
              </w:rPr>
              <w:t>nvertoarele trifazate, utilizate în instalațiile mai mari (</w:t>
            </w:r>
            <w:r w:rsidRPr="0094658B">
              <w:rPr>
                <w:bCs/>
                <w:i/>
                <w:iCs/>
                <w:sz w:val="24"/>
              </w:rPr>
              <w:t>peste 7 kW</w:t>
            </w:r>
            <w:r w:rsidRPr="0094658B">
              <w:rPr>
                <w:bCs/>
                <w:sz w:val="24"/>
              </w:rPr>
              <w:t>), au avantajul  distribui</w:t>
            </w:r>
            <w:r>
              <w:rPr>
                <w:bCs/>
                <w:sz w:val="24"/>
              </w:rPr>
              <w:t>rii</w:t>
            </w:r>
            <w:r w:rsidRPr="0094658B">
              <w:rPr>
                <w:bCs/>
                <w:sz w:val="24"/>
              </w:rPr>
              <w:t> mai uniform sarcina pe cele trei faze ale rețelei, ceea ce reduce impactul negativ asupra calității tensiunii. Acestea sunt mai eficiente din punct de vedere al stabilității rețelei, având un impact mai mic asupra dezechilibrelor de fază și asupra fluctuațiilor de tensiune.</w:t>
            </w:r>
          </w:p>
          <w:p w14:paraId="6789BD0E" w14:textId="442B96CF" w:rsidR="00C016A2" w:rsidRPr="00B62EB2" w:rsidRDefault="00933D84" w:rsidP="00606974">
            <w:pPr>
              <w:pStyle w:val="TableParagraph"/>
              <w:spacing w:before="20"/>
              <w:ind w:left="0"/>
              <w:rPr>
                <w:bCs/>
                <w:sz w:val="24"/>
              </w:rPr>
            </w:pPr>
            <w:r>
              <w:rPr>
                <w:bCs/>
                <w:sz w:val="24"/>
              </w:rPr>
              <w:t xml:space="preserve">Având în vedere că </w:t>
            </w:r>
            <w:r w:rsidR="00307216">
              <w:rPr>
                <w:bCs/>
                <w:sz w:val="24"/>
              </w:rPr>
              <w:t>capacitățile distribuite pe categorii de consumatori au fost deja depășite, în cazul persoanelor juridice, este important ca proiectul să intre în vigoare la data publicării în monitorul oficia</w:t>
            </w:r>
            <w:r w:rsidR="009D384C">
              <w:rPr>
                <w:bCs/>
                <w:sz w:val="24"/>
              </w:rPr>
              <w:t xml:space="preserve">l. </w:t>
            </w:r>
          </w:p>
        </w:tc>
      </w:tr>
      <w:tr w:rsidR="004B6E6B" w:rsidRPr="00B62EB2" w14:paraId="751CCA5F" w14:textId="77777777" w:rsidTr="004E65EF">
        <w:trPr>
          <w:trHeight w:val="602"/>
        </w:trPr>
        <w:tc>
          <w:tcPr>
            <w:tcW w:w="10310" w:type="dxa"/>
          </w:tcPr>
          <w:p w14:paraId="60B75AA1" w14:textId="42435A5F" w:rsidR="004B6E6B" w:rsidRPr="00B62EB2" w:rsidRDefault="004B6E6B" w:rsidP="004B6E6B">
            <w:pPr>
              <w:pStyle w:val="TableParagraph"/>
              <w:numPr>
                <w:ilvl w:val="1"/>
                <w:numId w:val="4"/>
              </w:numPr>
              <w:spacing w:before="20"/>
              <w:rPr>
                <w:bCs/>
                <w:sz w:val="24"/>
              </w:rPr>
            </w:pPr>
            <w:r w:rsidRPr="00B62EB2">
              <w:rPr>
                <w:bCs/>
                <w:sz w:val="24"/>
              </w:rPr>
              <w:lastRenderedPageBreak/>
              <w:t>Opțiunile alternative analizate și motivele pentru care acestea nu au fost luate în considerare</w:t>
            </w:r>
          </w:p>
        </w:tc>
      </w:tr>
      <w:tr w:rsidR="004B6E6B" w:rsidRPr="00B62EB2" w14:paraId="071162C6" w14:textId="77777777" w:rsidTr="004E65EF">
        <w:trPr>
          <w:trHeight w:val="602"/>
        </w:trPr>
        <w:tc>
          <w:tcPr>
            <w:tcW w:w="10310" w:type="dxa"/>
          </w:tcPr>
          <w:p w14:paraId="3998C218" w14:textId="68CBDF8A" w:rsidR="004B6E6B" w:rsidRPr="00B62EB2" w:rsidRDefault="00FD176A" w:rsidP="004B6E6B">
            <w:pPr>
              <w:pStyle w:val="TableParagraph"/>
              <w:spacing w:before="20"/>
              <w:rPr>
                <w:bCs/>
                <w:sz w:val="24"/>
              </w:rPr>
            </w:pPr>
            <w:r w:rsidRPr="00B62EB2">
              <w:rPr>
                <w:bCs/>
                <w:sz w:val="24"/>
              </w:rPr>
              <w:t xml:space="preserve">Opțiunea alternativă analizată </w:t>
            </w:r>
            <w:r w:rsidR="00EF0106" w:rsidRPr="00B62EB2">
              <w:rPr>
                <w:bCs/>
                <w:sz w:val="24"/>
              </w:rPr>
              <w:t>este a nu face nimic</w:t>
            </w:r>
            <w:r w:rsidRPr="00B62EB2">
              <w:rPr>
                <w:bCs/>
                <w:sz w:val="24"/>
              </w:rPr>
              <w:t xml:space="preserve">. În acest scenariu, categoriile de beneficiari care au depășit cotele de capacitate nu ar mai putea primi avize pentru noi proiecte. Aceasta ar permite alocarea capacităților doar pentru cei care nu au depășit încă cotele stabilite. Totodată, pentru unii consumatori casnici, avizele de racordare eliberate în urma calculului plafonului de capacitate au alocat o putere prea mică, de doar </w:t>
            </w:r>
            <w:r w:rsidRPr="00B62EB2">
              <w:rPr>
                <w:b/>
                <w:bCs/>
                <w:sz w:val="24"/>
              </w:rPr>
              <w:t>2-3 kW</w:t>
            </w:r>
            <w:r w:rsidRPr="00B62EB2">
              <w:rPr>
                <w:bCs/>
                <w:sz w:val="24"/>
              </w:rPr>
              <w:t>, ceea ce face imposibilă construirea unui proiect fezabil financiar și tehnic pe termen mediu și lung. Aceste valori nu permit implementarea unui proiect sustenabil și nu sunt viabile din punct de vedere economic pentru gospodării, limitând astfel dezvoltarea surselor de energie regenerabilă la nivel casnic.</w:t>
            </w:r>
          </w:p>
          <w:p w14:paraId="19A9182E" w14:textId="7734C441" w:rsidR="00B62EB2" w:rsidRPr="00B62EB2" w:rsidRDefault="00B62EB2" w:rsidP="005A4D37">
            <w:pPr>
              <w:pStyle w:val="TableParagraph"/>
              <w:spacing w:before="20"/>
              <w:rPr>
                <w:bCs/>
                <w:sz w:val="24"/>
              </w:rPr>
            </w:pPr>
            <w:r>
              <w:rPr>
                <w:bCs/>
                <w:sz w:val="24"/>
              </w:rPr>
              <w:t>C</w:t>
            </w:r>
            <w:r w:rsidR="00EF0106" w:rsidRPr="00B62EB2">
              <w:rPr>
                <w:bCs/>
                <w:sz w:val="24"/>
              </w:rPr>
              <w:t>onsumatori</w:t>
            </w:r>
            <w:r>
              <w:rPr>
                <w:bCs/>
                <w:sz w:val="24"/>
              </w:rPr>
              <w:t>i</w:t>
            </w:r>
            <w:r w:rsidR="00EF0106" w:rsidRPr="00B62EB2">
              <w:rPr>
                <w:bCs/>
                <w:sz w:val="24"/>
              </w:rPr>
              <w:t xml:space="preserve"> casnici, cu scopul de a obține un plafon de capacitate individuală mai mare vor </w:t>
            </w:r>
            <w:r w:rsidRPr="00B62EB2">
              <w:rPr>
                <w:bCs/>
                <w:sz w:val="24"/>
              </w:rPr>
              <w:t>continua</w:t>
            </w:r>
            <w:r w:rsidR="00EF0106" w:rsidRPr="00B62EB2">
              <w:rPr>
                <w:bCs/>
                <w:sz w:val="24"/>
              </w:rPr>
              <w:t xml:space="preserve"> să solicite majorarea puterii contractate limitând</w:t>
            </w:r>
            <w:r>
              <w:rPr>
                <w:bCs/>
                <w:sz w:val="24"/>
              </w:rPr>
              <w:t xml:space="preserve"> accesul la rețea a altor consumatori.</w:t>
            </w:r>
          </w:p>
        </w:tc>
      </w:tr>
      <w:tr w:rsidR="004B6E6B" w:rsidRPr="00B62EB2" w14:paraId="163940D2" w14:textId="77777777" w:rsidTr="004E65EF">
        <w:trPr>
          <w:trHeight w:val="602"/>
        </w:trPr>
        <w:tc>
          <w:tcPr>
            <w:tcW w:w="10310" w:type="dxa"/>
          </w:tcPr>
          <w:p w14:paraId="1E0AE344" w14:textId="77777777" w:rsidR="00604259" w:rsidRPr="00606974" w:rsidRDefault="004B6E6B" w:rsidP="004B6E6B">
            <w:pPr>
              <w:pStyle w:val="TableParagraph"/>
              <w:numPr>
                <w:ilvl w:val="0"/>
                <w:numId w:val="4"/>
              </w:numPr>
              <w:spacing w:before="20"/>
              <w:rPr>
                <w:b/>
                <w:sz w:val="24"/>
              </w:rPr>
            </w:pPr>
            <w:r w:rsidRPr="00B62EB2">
              <w:rPr>
                <w:b/>
                <w:sz w:val="24"/>
              </w:rPr>
              <w:t>Analiza impactului de reglementare</w:t>
            </w:r>
            <w:r w:rsidR="00604259" w:rsidRPr="00B62EB2">
              <w:rPr>
                <w:bCs/>
                <w:sz w:val="24"/>
              </w:rPr>
              <w:t xml:space="preserve"> </w:t>
            </w:r>
          </w:p>
          <w:p w14:paraId="3536E699" w14:textId="5A843C51" w:rsidR="004B6E6B" w:rsidRPr="00B62EB2" w:rsidRDefault="00604259" w:rsidP="00606974">
            <w:pPr>
              <w:pStyle w:val="TableParagraph"/>
              <w:numPr>
                <w:ilvl w:val="1"/>
                <w:numId w:val="4"/>
              </w:numPr>
              <w:spacing w:before="20"/>
              <w:rPr>
                <w:b/>
                <w:sz w:val="24"/>
              </w:rPr>
            </w:pPr>
            <w:r w:rsidRPr="00B62EB2">
              <w:rPr>
                <w:bCs/>
                <w:sz w:val="24"/>
              </w:rPr>
              <w:t>Impactul asupra sectorului public</w:t>
            </w:r>
          </w:p>
        </w:tc>
      </w:tr>
      <w:tr w:rsidR="004B6E6B" w:rsidRPr="00B62EB2" w14:paraId="34A3699A" w14:textId="77777777" w:rsidTr="004E65EF">
        <w:trPr>
          <w:trHeight w:val="602"/>
        </w:trPr>
        <w:tc>
          <w:tcPr>
            <w:tcW w:w="10310" w:type="dxa"/>
          </w:tcPr>
          <w:p w14:paraId="6A478F79" w14:textId="6851D82B" w:rsidR="0001667A" w:rsidRPr="00606974" w:rsidRDefault="004B6E6B" w:rsidP="0001667A">
            <w:pPr>
              <w:pStyle w:val="TableParagraph"/>
              <w:spacing w:before="133"/>
              <w:ind w:right="181"/>
              <w:rPr>
                <w:sz w:val="24"/>
              </w:rPr>
            </w:pPr>
            <w:r w:rsidRPr="00B62EB2">
              <w:rPr>
                <w:rFonts w:eastAsiaTheme="minorHAnsi"/>
                <w:sz w:val="24"/>
                <w:szCs w:val="24"/>
              </w:rPr>
              <w:t>Prezent</w:t>
            </w:r>
            <w:r w:rsidR="00982B69" w:rsidRPr="00B62EB2">
              <w:rPr>
                <w:rFonts w:eastAsiaTheme="minorHAnsi"/>
                <w:sz w:val="24"/>
                <w:szCs w:val="24"/>
              </w:rPr>
              <w:t xml:space="preserve">ul </w:t>
            </w:r>
            <w:r w:rsidR="00982B69" w:rsidRPr="00B62EB2">
              <w:rPr>
                <w:bCs/>
                <w:sz w:val="24"/>
              </w:rPr>
              <w:t>proiect de modificare a Hotărârii Guvernului nr. 401/2021</w:t>
            </w:r>
            <w:r w:rsidRPr="00B62EB2">
              <w:rPr>
                <w:rFonts w:eastAsiaTheme="minorHAnsi"/>
                <w:sz w:val="24"/>
                <w:szCs w:val="24"/>
              </w:rPr>
              <w:t>,</w:t>
            </w:r>
            <w:r w:rsidR="005658AB">
              <w:rPr>
                <w:rFonts w:eastAsiaTheme="minorHAnsi"/>
                <w:sz w:val="24"/>
                <w:szCs w:val="24"/>
              </w:rPr>
              <w:t xml:space="preserve"> este</w:t>
            </w:r>
            <w:r w:rsidRPr="00B62EB2">
              <w:rPr>
                <w:rFonts w:eastAsiaTheme="minorHAnsi"/>
                <w:sz w:val="24"/>
                <w:szCs w:val="24"/>
              </w:rPr>
              <w:t xml:space="preserve"> necesar pentru a permite implementarea efectivă a mecanismului de facturare netă prin aprobarea</w:t>
            </w:r>
            <w:r w:rsidR="00B47D57" w:rsidRPr="00B62EB2">
              <w:rPr>
                <w:rFonts w:eastAsiaTheme="minorHAnsi"/>
                <w:sz w:val="24"/>
                <w:szCs w:val="24"/>
              </w:rPr>
              <w:t xml:space="preserve"> unui nou calcul a</w:t>
            </w:r>
            <w:r w:rsidRPr="00B62EB2">
              <w:rPr>
                <w:rFonts w:eastAsiaTheme="minorHAnsi"/>
                <w:sz w:val="24"/>
                <w:szCs w:val="24"/>
              </w:rPr>
              <w:t xml:space="preserve"> cotelor de capacitate și </w:t>
            </w:r>
            <w:r w:rsidR="00B62EB2" w:rsidRPr="00B62EB2">
              <w:rPr>
                <w:rFonts w:eastAsiaTheme="minorHAnsi"/>
                <w:sz w:val="24"/>
                <w:szCs w:val="24"/>
              </w:rPr>
              <w:t>adaptarea</w:t>
            </w:r>
            <w:r w:rsidR="00B47D57" w:rsidRPr="00B62EB2">
              <w:rPr>
                <w:rFonts w:eastAsiaTheme="minorHAnsi"/>
                <w:sz w:val="24"/>
                <w:szCs w:val="24"/>
              </w:rPr>
              <w:t xml:space="preserve"> </w:t>
            </w:r>
            <w:r w:rsidRPr="00B62EB2">
              <w:rPr>
                <w:rFonts w:eastAsiaTheme="minorHAnsi"/>
                <w:sz w:val="24"/>
                <w:szCs w:val="24"/>
              </w:rPr>
              <w:t>plafoanelor individuale</w:t>
            </w:r>
            <w:r w:rsidR="00B47D57" w:rsidRPr="00B62EB2">
              <w:rPr>
                <w:rFonts w:eastAsiaTheme="minorHAnsi"/>
                <w:sz w:val="24"/>
                <w:szCs w:val="24"/>
              </w:rPr>
              <w:t>,</w:t>
            </w:r>
            <w:r w:rsidR="0001667A" w:rsidRPr="00B62EB2">
              <w:rPr>
                <w:rFonts w:eastAsiaTheme="minorHAnsi"/>
                <w:sz w:val="24"/>
                <w:szCs w:val="24"/>
              </w:rPr>
              <w:t xml:space="preserve"> i</w:t>
            </w:r>
            <w:r w:rsidR="0001667A" w:rsidRPr="00606974">
              <w:rPr>
                <w:sz w:val="24"/>
              </w:rPr>
              <w:t xml:space="preserve">nstituțiile bugetare vor avea acces la capacitățile alocate într-un mod mai flexibil, fără a fi restricționate de cotele stabilite anterior. În prezent, cota de capacitate pentru instituțiile bugetare este de </w:t>
            </w:r>
            <w:r w:rsidR="0001667A" w:rsidRPr="00606974">
              <w:rPr>
                <w:b/>
                <w:bCs/>
                <w:sz w:val="24"/>
              </w:rPr>
              <w:t>7 MW</w:t>
            </w:r>
            <w:r w:rsidR="0001667A" w:rsidRPr="00606974">
              <w:rPr>
                <w:sz w:val="24"/>
              </w:rPr>
              <w:t xml:space="preserve">, însă avizele eliberate au depășit această limită, ajungând la </w:t>
            </w:r>
            <w:r w:rsidR="0001667A" w:rsidRPr="00606974">
              <w:rPr>
                <w:b/>
                <w:bCs/>
                <w:sz w:val="24"/>
              </w:rPr>
              <w:t>1</w:t>
            </w:r>
            <w:r w:rsidR="0002580E">
              <w:rPr>
                <w:b/>
                <w:bCs/>
                <w:sz w:val="24"/>
              </w:rPr>
              <w:t>5</w:t>
            </w:r>
            <w:r w:rsidR="0001667A" w:rsidRPr="00606974">
              <w:rPr>
                <w:b/>
                <w:bCs/>
                <w:sz w:val="24"/>
              </w:rPr>
              <w:t>,</w:t>
            </w:r>
            <w:r w:rsidR="0002580E">
              <w:rPr>
                <w:b/>
                <w:bCs/>
                <w:sz w:val="24"/>
              </w:rPr>
              <w:t>03</w:t>
            </w:r>
            <w:r w:rsidR="0001667A" w:rsidRPr="00606974">
              <w:rPr>
                <w:b/>
                <w:bCs/>
                <w:sz w:val="24"/>
              </w:rPr>
              <w:t xml:space="preserve"> MW</w:t>
            </w:r>
            <w:r w:rsidR="0001667A" w:rsidRPr="00606974">
              <w:rPr>
                <w:sz w:val="24"/>
              </w:rPr>
              <w:t xml:space="preserve"> (</w:t>
            </w:r>
            <w:r w:rsidR="0002580E">
              <w:rPr>
                <w:sz w:val="24"/>
              </w:rPr>
              <w:t>215</w:t>
            </w:r>
            <w:r w:rsidR="0001667A" w:rsidRPr="00606974">
              <w:rPr>
                <w:sz w:val="24"/>
              </w:rPr>
              <w:t>% din cota alocată). Astfel, instituțiile vor putea accesa capacități suplimentare, fără a fi limitate de plafonul actual.</w:t>
            </w:r>
          </w:p>
          <w:p w14:paraId="5658135C" w14:textId="0F1E5D16" w:rsidR="0001667A" w:rsidRPr="00606974" w:rsidRDefault="0001667A" w:rsidP="0001667A">
            <w:pPr>
              <w:pStyle w:val="TableParagraph"/>
              <w:spacing w:before="133"/>
              <w:ind w:right="181"/>
              <w:rPr>
                <w:sz w:val="24"/>
              </w:rPr>
            </w:pPr>
            <w:r w:rsidRPr="00606974">
              <w:rPr>
                <w:sz w:val="24"/>
              </w:rPr>
              <w:t xml:space="preserve">Această schimbare va permite instituțiilor publice să participe mai activ la tranziția energetică, să implementeze proiecte extinse de energie regenerabilă și să beneficieze de fonduri suplimentare destinate eficienței energetice și surselor regenerabile, inclusiv prin intermediul fondurilor naționale și europene. Accesul la </w:t>
            </w:r>
            <w:r w:rsidR="00DD4F4A" w:rsidRPr="00606974">
              <w:rPr>
                <w:sz w:val="24"/>
              </w:rPr>
              <w:t xml:space="preserve">totalul </w:t>
            </w:r>
            <w:r w:rsidRPr="00606974">
              <w:rPr>
                <w:sz w:val="24"/>
              </w:rPr>
              <w:t xml:space="preserve">capacități </w:t>
            </w:r>
            <w:r w:rsidR="00DD4F4A" w:rsidRPr="00606974">
              <w:rPr>
                <w:sz w:val="24"/>
              </w:rPr>
              <w:t>alocate</w:t>
            </w:r>
            <w:r w:rsidRPr="00606974">
              <w:rPr>
                <w:sz w:val="24"/>
              </w:rPr>
              <w:t xml:space="preserve"> va sprijini instituțiile în atingerea obiectivelor naționale și internaționale privind reducerea emisiilor de gaze cu efect de seră.</w:t>
            </w:r>
          </w:p>
          <w:p w14:paraId="3216ED89" w14:textId="4966A02B" w:rsidR="004B6E6B" w:rsidRPr="00B62EB2" w:rsidRDefault="004B6E6B" w:rsidP="0001667A">
            <w:pPr>
              <w:pStyle w:val="TableParagraph"/>
              <w:spacing w:before="133"/>
              <w:ind w:right="181"/>
              <w:rPr>
                <w:bCs/>
                <w:sz w:val="24"/>
              </w:rPr>
            </w:pPr>
            <w:r w:rsidRPr="00B62EB2">
              <w:rPr>
                <w:sz w:val="24"/>
              </w:rPr>
              <w:t>Aprobarea proiectului și implementarea acestuia nu va necesita cheltuieli financiare sau alocarea mijloacelor financiare suplimentare de la bugetul de stat. Intervenția propusă nu implică careva schimbări instituționale, necesare pentru implementarea măsurilor  propuse, monitorizarea implementării acesteia urmând a fi realizată în limita atribuțiilor și obligațiilor legale ale autorităților publice și instituțiilor publice vizate, și anume – Ministerul Energiei cu suportul Centrului Național pentru Energie Durabilă</w:t>
            </w:r>
          </w:p>
        </w:tc>
      </w:tr>
      <w:tr w:rsidR="004B6E6B" w:rsidRPr="00B62EB2" w14:paraId="3B354DC7" w14:textId="77777777" w:rsidTr="004E65EF">
        <w:trPr>
          <w:trHeight w:val="602"/>
        </w:trPr>
        <w:tc>
          <w:tcPr>
            <w:tcW w:w="10310" w:type="dxa"/>
          </w:tcPr>
          <w:p w14:paraId="78890A89" w14:textId="77777777" w:rsidR="004B6E6B" w:rsidRPr="00400952" w:rsidRDefault="004B6E6B" w:rsidP="004B6E6B">
            <w:pPr>
              <w:pStyle w:val="TableParagraph"/>
              <w:numPr>
                <w:ilvl w:val="1"/>
                <w:numId w:val="4"/>
              </w:numPr>
              <w:spacing w:before="20"/>
              <w:rPr>
                <w:bCs/>
                <w:sz w:val="24"/>
                <w:szCs w:val="24"/>
              </w:rPr>
            </w:pPr>
            <w:r w:rsidRPr="00606974">
              <w:rPr>
                <w:sz w:val="24"/>
                <w:szCs w:val="24"/>
              </w:rPr>
              <w:t>Impactul financiar și argumentarea costurilor estimative</w:t>
            </w:r>
          </w:p>
          <w:p w14:paraId="42DD3489" w14:textId="3C6634FD" w:rsidR="00400952" w:rsidRPr="005A4D37" w:rsidRDefault="00400952" w:rsidP="00400952">
            <w:pPr>
              <w:pStyle w:val="TableParagraph"/>
              <w:spacing w:before="133"/>
              <w:ind w:right="181"/>
              <w:rPr>
                <w:bCs/>
                <w:sz w:val="24"/>
                <w:szCs w:val="24"/>
              </w:rPr>
            </w:pPr>
            <w:r w:rsidRPr="00B62EB2">
              <w:rPr>
                <w:sz w:val="24"/>
              </w:rPr>
              <w:lastRenderedPageBreak/>
              <w:t>Aprobarea proiectului și implementarea acestuia nu va necesita cheltuieli financiare sau alocarea mijloacelor financiare suplimentare de la bugetul de stat. Intervenția propusă nu implică careva schimbări instituționale, necesare pentru implementarea măsurilor  propuse, monitorizarea implementării acesteia urmând a fi realizată în limita atribuțiilor și obligațiilor legale ale autorităților publice și instituțiilor publice vizate, și anume – Ministerul Energiei cu suportul Centrului Național pentru Energie Durabilă</w:t>
            </w:r>
          </w:p>
        </w:tc>
      </w:tr>
      <w:tr w:rsidR="004B6E6B" w:rsidRPr="00B62EB2" w14:paraId="7D7BC1B0" w14:textId="77777777" w:rsidTr="004E65EF">
        <w:trPr>
          <w:trHeight w:val="602"/>
        </w:trPr>
        <w:tc>
          <w:tcPr>
            <w:tcW w:w="10310" w:type="dxa"/>
          </w:tcPr>
          <w:p w14:paraId="5062E86F" w14:textId="270F5952" w:rsidR="004B6E6B" w:rsidRPr="00606974" w:rsidRDefault="0001667A" w:rsidP="004B6E6B">
            <w:pPr>
              <w:pStyle w:val="TableParagraph"/>
              <w:spacing w:before="20"/>
              <w:rPr>
                <w:sz w:val="24"/>
                <w:szCs w:val="24"/>
              </w:rPr>
            </w:pPr>
            <w:r w:rsidRPr="00606974">
              <w:rPr>
                <w:sz w:val="24"/>
                <w:szCs w:val="24"/>
              </w:rPr>
              <w:lastRenderedPageBreak/>
              <w:t xml:space="preserve">Nu necesită suport financiar </w:t>
            </w:r>
            <w:r w:rsidR="00DD4F4A" w:rsidRPr="00606974">
              <w:rPr>
                <w:sz w:val="24"/>
                <w:szCs w:val="24"/>
              </w:rPr>
              <w:t>din bugetul de stat.</w:t>
            </w:r>
          </w:p>
        </w:tc>
      </w:tr>
      <w:tr w:rsidR="004B6E6B" w:rsidRPr="00B62EB2" w14:paraId="7ED3E178" w14:textId="77777777" w:rsidTr="004E65EF">
        <w:trPr>
          <w:trHeight w:val="602"/>
        </w:trPr>
        <w:tc>
          <w:tcPr>
            <w:tcW w:w="10310" w:type="dxa"/>
          </w:tcPr>
          <w:p w14:paraId="76A6FA0E" w14:textId="37401ADD" w:rsidR="004B6E6B" w:rsidRPr="00606974" w:rsidRDefault="004B6E6B" w:rsidP="004B6E6B">
            <w:pPr>
              <w:pStyle w:val="TableParagraph"/>
              <w:numPr>
                <w:ilvl w:val="1"/>
                <w:numId w:val="4"/>
              </w:numPr>
              <w:spacing w:before="20"/>
              <w:rPr>
                <w:sz w:val="24"/>
                <w:szCs w:val="24"/>
              </w:rPr>
            </w:pPr>
            <w:r w:rsidRPr="00606974">
              <w:rPr>
                <w:sz w:val="24"/>
                <w:szCs w:val="24"/>
              </w:rPr>
              <w:t>.Impactul asupra sectorului privat</w:t>
            </w:r>
          </w:p>
        </w:tc>
      </w:tr>
      <w:tr w:rsidR="004B6E6B" w:rsidRPr="00B62EB2" w14:paraId="3EA884F0" w14:textId="77777777" w:rsidTr="004E65EF">
        <w:trPr>
          <w:trHeight w:val="602"/>
        </w:trPr>
        <w:tc>
          <w:tcPr>
            <w:tcW w:w="10310" w:type="dxa"/>
          </w:tcPr>
          <w:p w14:paraId="0A6C05CB" w14:textId="3F3C2589" w:rsidR="00DD4F4A" w:rsidRPr="00606974" w:rsidRDefault="00DD4F4A" w:rsidP="00DD4F4A">
            <w:pPr>
              <w:pStyle w:val="TableParagraph"/>
              <w:spacing w:before="20"/>
              <w:rPr>
                <w:sz w:val="24"/>
                <w:szCs w:val="24"/>
              </w:rPr>
            </w:pPr>
            <w:r w:rsidRPr="00606974">
              <w:rPr>
                <w:sz w:val="24"/>
                <w:szCs w:val="24"/>
              </w:rPr>
              <w:t xml:space="preserve">Conform modificărilor propuse, persoanele juridice - companiile din sectorul privat vor beneficia de un acces mai mare la capacitățile de energie regenerabilă alocate, fără a fi limitate de cotele stabilite anterior. Pentru sectorul privat, cota alocată este de 50 MW, iar avizele emise au depășit această limită, ajungând la </w:t>
            </w:r>
            <w:r w:rsidR="0002580E">
              <w:rPr>
                <w:sz w:val="24"/>
                <w:szCs w:val="24"/>
              </w:rPr>
              <w:t>75</w:t>
            </w:r>
            <w:r w:rsidRPr="00606974">
              <w:rPr>
                <w:sz w:val="24"/>
                <w:szCs w:val="24"/>
              </w:rPr>
              <w:t>,</w:t>
            </w:r>
            <w:r w:rsidR="0002580E">
              <w:rPr>
                <w:sz w:val="24"/>
                <w:szCs w:val="24"/>
              </w:rPr>
              <w:t>6</w:t>
            </w:r>
            <w:r w:rsidRPr="00606974">
              <w:rPr>
                <w:sz w:val="24"/>
                <w:szCs w:val="24"/>
              </w:rPr>
              <w:t>1 MW, ceea ce reprezintă 1</w:t>
            </w:r>
            <w:r w:rsidR="0002580E">
              <w:rPr>
                <w:sz w:val="24"/>
                <w:szCs w:val="24"/>
              </w:rPr>
              <w:t>51</w:t>
            </w:r>
            <w:r w:rsidRPr="00606974">
              <w:rPr>
                <w:sz w:val="24"/>
                <w:szCs w:val="24"/>
              </w:rPr>
              <w:t>% din cota alocată. Astfel, sectorul privat va putea accesa capacități suplimentare, permițând o dezvoltare mai amplă a proiectelor de energie regenerabilă.</w:t>
            </w:r>
          </w:p>
          <w:p w14:paraId="19F1190F" w14:textId="77777777" w:rsidR="004B6E6B" w:rsidRDefault="00DD4F4A" w:rsidP="00DD4F4A">
            <w:pPr>
              <w:pStyle w:val="TableParagraph"/>
              <w:spacing w:before="20"/>
              <w:rPr>
                <w:sz w:val="24"/>
                <w:szCs w:val="24"/>
              </w:rPr>
            </w:pPr>
            <w:r w:rsidRPr="00606974">
              <w:rPr>
                <w:sz w:val="24"/>
                <w:szCs w:val="24"/>
              </w:rPr>
              <w:t>Modificările propuse vor stimula atât companiile să participe activ la tranziția energetică, să investească în sisteme de energie regenerabilă și să beneficieze de fonduri suplimentare disponibile prin diverse scheme naționale și europene.</w:t>
            </w:r>
          </w:p>
          <w:p w14:paraId="229163A5" w14:textId="3A6A8F32" w:rsidR="005A4D37" w:rsidRPr="00606974" w:rsidRDefault="005A4D37" w:rsidP="00DD4F4A">
            <w:pPr>
              <w:pStyle w:val="TableParagraph"/>
              <w:spacing w:before="20"/>
              <w:rPr>
                <w:sz w:val="24"/>
                <w:szCs w:val="24"/>
              </w:rPr>
            </w:pPr>
            <w:r>
              <w:rPr>
                <w:sz w:val="24"/>
                <w:szCs w:val="24"/>
              </w:rPr>
              <w:t xml:space="preserve">Consumatorii casnici vor beneficia </w:t>
            </w:r>
            <w:r w:rsidR="006B1575">
              <w:rPr>
                <w:sz w:val="24"/>
                <w:szCs w:val="24"/>
              </w:rPr>
              <w:t xml:space="preserve">de posibilitatea obținerii unui plafon de capacitate individuală </w:t>
            </w:r>
            <w:r w:rsidR="00097FBC">
              <w:rPr>
                <w:sz w:val="24"/>
                <w:szCs w:val="24"/>
              </w:rPr>
              <w:t>mai mare, care ar justifica investițiile inițiale ridicate, vor permite recuperarea acestora într-un termen mai mic și vor descuraja majorarea artificială a puterii contractate.</w:t>
            </w:r>
          </w:p>
        </w:tc>
      </w:tr>
      <w:tr w:rsidR="004B6E6B" w:rsidRPr="00B62EB2" w14:paraId="4C2C6E8C" w14:textId="77777777" w:rsidTr="004E65EF">
        <w:trPr>
          <w:trHeight w:val="602"/>
        </w:trPr>
        <w:tc>
          <w:tcPr>
            <w:tcW w:w="10310" w:type="dxa"/>
          </w:tcPr>
          <w:p w14:paraId="680CBFF1" w14:textId="22C1F2E8" w:rsidR="004B6E6B" w:rsidRPr="00606974" w:rsidRDefault="004B6E6B" w:rsidP="004B6E6B">
            <w:pPr>
              <w:pStyle w:val="TableParagraph"/>
              <w:numPr>
                <w:ilvl w:val="1"/>
                <w:numId w:val="4"/>
              </w:numPr>
              <w:spacing w:before="20"/>
              <w:rPr>
                <w:sz w:val="24"/>
                <w:szCs w:val="24"/>
              </w:rPr>
            </w:pPr>
            <w:r w:rsidRPr="00606974">
              <w:rPr>
                <w:sz w:val="24"/>
                <w:szCs w:val="24"/>
              </w:rPr>
              <w:t>Impactul social</w:t>
            </w:r>
          </w:p>
        </w:tc>
      </w:tr>
      <w:tr w:rsidR="004B6E6B" w:rsidRPr="00B62EB2" w14:paraId="2432ABAE" w14:textId="77777777" w:rsidTr="004E65EF">
        <w:trPr>
          <w:trHeight w:val="602"/>
        </w:trPr>
        <w:tc>
          <w:tcPr>
            <w:tcW w:w="10310" w:type="dxa"/>
          </w:tcPr>
          <w:p w14:paraId="7C87127A" w14:textId="77777777" w:rsidR="004B6E6B" w:rsidRPr="00606974" w:rsidRDefault="00EC4856" w:rsidP="004B6E6B">
            <w:pPr>
              <w:pStyle w:val="TableParagraph"/>
              <w:spacing w:before="20"/>
              <w:rPr>
                <w:sz w:val="24"/>
                <w:szCs w:val="24"/>
              </w:rPr>
            </w:pPr>
            <w:r w:rsidRPr="00606974">
              <w:rPr>
                <w:sz w:val="24"/>
                <w:szCs w:val="24"/>
              </w:rPr>
              <w:t>În urma modificărilor propuse, beneficiarii mecanismului de facturare netă vor avea posibilitatea să primească avize de racordare fără a fi restricționați de cotele de capacitate, ceea ce va stimula dezvoltarea proiectelor de energie regenerabilă, atât pentru consumatorii casnici, cât și pentru instituțiile publice și sectorul privat. Aceasta va permite o distribuire mai echitabilă a capacităților, iar sistemul de energie regenerabilă va deveni mai accesibil pentru o gamă largă de beneficiari, inclusiv pentru gospodării și micile afaceri.</w:t>
            </w:r>
          </w:p>
          <w:p w14:paraId="74B26EE4" w14:textId="77777777" w:rsidR="00EC4856" w:rsidRPr="00606974" w:rsidRDefault="00EC4856" w:rsidP="004B6E6B">
            <w:pPr>
              <w:pStyle w:val="TableParagraph"/>
              <w:spacing w:before="20"/>
              <w:rPr>
                <w:sz w:val="24"/>
                <w:szCs w:val="24"/>
              </w:rPr>
            </w:pPr>
            <w:r w:rsidRPr="00606974">
              <w:rPr>
                <w:sz w:val="24"/>
                <w:szCs w:val="24"/>
              </w:rPr>
              <w:t>Odată cu creșterea utilizării surselor de energie regenerabilă, care sunt mai ieftine pe termen lung, costurile cu energia electrică vor scădea, ceea ce va beneficia nu doar consumatorii casnici, dar și întreprinderile mici și mijlocii. Aceasta va duce la o reducere a poverii financiare pentru gospodării și va contribui la creșterea puterii de cumpărare a cetățenilor, sprijinind în același timp dezvoltarea economică a comunităților locale.</w:t>
            </w:r>
          </w:p>
          <w:p w14:paraId="31E7DF71" w14:textId="10763093" w:rsidR="00EC4856" w:rsidRPr="00606974" w:rsidRDefault="00EC4856" w:rsidP="004B6E6B">
            <w:pPr>
              <w:pStyle w:val="TableParagraph"/>
              <w:spacing w:before="20"/>
              <w:rPr>
                <w:sz w:val="24"/>
                <w:szCs w:val="24"/>
              </w:rPr>
            </w:pPr>
            <w:r w:rsidRPr="00606974">
              <w:rPr>
                <w:sz w:val="24"/>
                <w:szCs w:val="24"/>
              </w:rPr>
              <w:t xml:space="preserve">Promovarea surselor de energie regenerabilă prin acest mecanism va crea noi locuri de muncă în sectorul de instalare și </w:t>
            </w:r>
            <w:r w:rsidR="005658AB">
              <w:rPr>
                <w:sz w:val="24"/>
                <w:szCs w:val="24"/>
              </w:rPr>
              <w:t>mentenanță</w:t>
            </w:r>
            <w:r w:rsidRPr="00606974">
              <w:rPr>
                <w:sz w:val="24"/>
                <w:szCs w:val="24"/>
              </w:rPr>
              <w:t xml:space="preserve"> a sistemelor fotovoltaice și a altor tehnologii de energie verde, ceea ce va contribui la reducerea șomajului și va sprijini integrarea socială a persoanelor din zonele rurale sau defavorizate.</w:t>
            </w:r>
          </w:p>
          <w:p w14:paraId="72CFAD27" w14:textId="64843FFB" w:rsidR="00EC4856" w:rsidRPr="00606974" w:rsidRDefault="00EC4856" w:rsidP="004B6E6B">
            <w:pPr>
              <w:pStyle w:val="TableParagraph"/>
              <w:spacing w:before="20"/>
              <w:rPr>
                <w:sz w:val="24"/>
                <w:szCs w:val="24"/>
              </w:rPr>
            </w:pPr>
            <w:r w:rsidRPr="00606974">
              <w:rPr>
                <w:sz w:val="24"/>
                <w:szCs w:val="24"/>
              </w:rPr>
              <w:t>Un alt efect important va fi îmbunătățirea calității vieții în zonele care adoptă în mod activ energia verde, prin reducerea emisiilor de CO2 și a poluării aerului. Astfel, proiectele de energie regenerabilă vor contribui la un mediu mai curat, ceea ce va îmbunătăți sănătatea publică și va reduce costurile asociate cu îngrijirea sănătății pe termen lung.</w:t>
            </w:r>
          </w:p>
        </w:tc>
      </w:tr>
      <w:tr w:rsidR="004B6E6B" w:rsidRPr="00B62EB2" w14:paraId="5014FA1E" w14:textId="77777777" w:rsidTr="004E65EF">
        <w:trPr>
          <w:trHeight w:val="602"/>
        </w:trPr>
        <w:tc>
          <w:tcPr>
            <w:tcW w:w="10310" w:type="dxa"/>
          </w:tcPr>
          <w:p w14:paraId="1427A5EC" w14:textId="1955B632" w:rsidR="004B6E6B" w:rsidRPr="00606974" w:rsidRDefault="004B6E6B" w:rsidP="004B6E6B">
            <w:pPr>
              <w:pStyle w:val="TableParagraph"/>
              <w:numPr>
                <w:ilvl w:val="1"/>
                <w:numId w:val="4"/>
              </w:numPr>
              <w:spacing w:before="20"/>
              <w:rPr>
                <w:sz w:val="24"/>
                <w:szCs w:val="24"/>
              </w:rPr>
            </w:pPr>
            <w:r w:rsidRPr="00606974">
              <w:rPr>
                <w:sz w:val="24"/>
                <w:szCs w:val="24"/>
              </w:rPr>
              <w:t>Impactul asupra datelor cu caracter personal</w:t>
            </w:r>
          </w:p>
        </w:tc>
      </w:tr>
      <w:tr w:rsidR="004B6E6B" w:rsidRPr="00B62EB2" w14:paraId="4F315AEE" w14:textId="77777777" w:rsidTr="004E65EF">
        <w:trPr>
          <w:trHeight w:val="602"/>
        </w:trPr>
        <w:tc>
          <w:tcPr>
            <w:tcW w:w="10310" w:type="dxa"/>
          </w:tcPr>
          <w:p w14:paraId="02DF64F9" w14:textId="2FD8536A" w:rsidR="004B6E6B" w:rsidRPr="00606974" w:rsidRDefault="004B6E6B" w:rsidP="004B6E6B">
            <w:pPr>
              <w:pStyle w:val="TableParagraph"/>
              <w:spacing w:before="20"/>
              <w:rPr>
                <w:sz w:val="24"/>
                <w:szCs w:val="24"/>
              </w:rPr>
            </w:pPr>
            <w:r w:rsidRPr="00606974">
              <w:rPr>
                <w:sz w:val="24"/>
                <w:szCs w:val="24"/>
              </w:rPr>
              <w:t>Nu este aplicabil.</w:t>
            </w:r>
          </w:p>
        </w:tc>
      </w:tr>
      <w:tr w:rsidR="004B6E6B" w:rsidRPr="00B62EB2" w14:paraId="16F7E45B" w14:textId="77777777" w:rsidTr="004E65EF">
        <w:trPr>
          <w:trHeight w:val="602"/>
        </w:trPr>
        <w:tc>
          <w:tcPr>
            <w:tcW w:w="10310" w:type="dxa"/>
          </w:tcPr>
          <w:p w14:paraId="69C3C8B6" w14:textId="1B59D17D" w:rsidR="004B6E6B" w:rsidRPr="00606974" w:rsidRDefault="004B6E6B" w:rsidP="004B6E6B">
            <w:pPr>
              <w:pStyle w:val="TableParagraph"/>
              <w:numPr>
                <w:ilvl w:val="1"/>
                <w:numId w:val="4"/>
              </w:numPr>
              <w:spacing w:before="20"/>
              <w:rPr>
                <w:sz w:val="24"/>
                <w:szCs w:val="24"/>
              </w:rPr>
            </w:pPr>
            <w:r w:rsidRPr="00606974">
              <w:rPr>
                <w:sz w:val="24"/>
                <w:szCs w:val="24"/>
              </w:rPr>
              <w:t xml:space="preserve">Impactul asupra echității și egalității de gen </w:t>
            </w:r>
          </w:p>
        </w:tc>
      </w:tr>
      <w:tr w:rsidR="004B6E6B" w:rsidRPr="00B62EB2" w14:paraId="5F3776F1" w14:textId="77777777" w:rsidTr="004E65EF">
        <w:trPr>
          <w:trHeight w:val="602"/>
        </w:trPr>
        <w:tc>
          <w:tcPr>
            <w:tcW w:w="10310" w:type="dxa"/>
          </w:tcPr>
          <w:p w14:paraId="255C4107" w14:textId="0D7C363B" w:rsidR="004B6E6B" w:rsidRPr="00606974" w:rsidRDefault="004B6E6B" w:rsidP="004B6E6B">
            <w:pPr>
              <w:pStyle w:val="TableParagraph"/>
              <w:spacing w:before="20"/>
              <w:rPr>
                <w:sz w:val="24"/>
                <w:szCs w:val="24"/>
              </w:rPr>
            </w:pPr>
            <w:r w:rsidRPr="00606974">
              <w:rPr>
                <w:sz w:val="24"/>
                <w:szCs w:val="24"/>
              </w:rPr>
              <w:lastRenderedPageBreak/>
              <w:t>Nu este aplicabil.</w:t>
            </w:r>
          </w:p>
        </w:tc>
      </w:tr>
      <w:tr w:rsidR="004B6E6B" w:rsidRPr="00B62EB2" w14:paraId="77A72BFF" w14:textId="77777777" w:rsidTr="004E65EF">
        <w:trPr>
          <w:trHeight w:val="602"/>
        </w:trPr>
        <w:tc>
          <w:tcPr>
            <w:tcW w:w="10310" w:type="dxa"/>
          </w:tcPr>
          <w:p w14:paraId="587ABCBB" w14:textId="0505B0D9" w:rsidR="004B6E6B" w:rsidRPr="00606974" w:rsidRDefault="004B6E6B" w:rsidP="004B6E6B">
            <w:pPr>
              <w:pStyle w:val="TableParagraph"/>
              <w:numPr>
                <w:ilvl w:val="1"/>
                <w:numId w:val="4"/>
              </w:numPr>
              <w:spacing w:before="20"/>
              <w:rPr>
                <w:sz w:val="24"/>
                <w:szCs w:val="24"/>
              </w:rPr>
            </w:pPr>
            <w:r w:rsidRPr="00606974">
              <w:rPr>
                <w:sz w:val="24"/>
                <w:szCs w:val="24"/>
              </w:rPr>
              <w:t xml:space="preserve">. Impactul asupra mediului </w:t>
            </w:r>
          </w:p>
        </w:tc>
      </w:tr>
      <w:tr w:rsidR="004B6E6B" w:rsidRPr="00B62EB2" w14:paraId="443DDEE0" w14:textId="77777777" w:rsidTr="004E65EF">
        <w:trPr>
          <w:trHeight w:val="602"/>
        </w:trPr>
        <w:tc>
          <w:tcPr>
            <w:tcW w:w="10310" w:type="dxa"/>
          </w:tcPr>
          <w:p w14:paraId="0A21A634" w14:textId="6580673A" w:rsidR="001A4669" w:rsidRPr="00606974" w:rsidRDefault="001A4669" w:rsidP="001A4669">
            <w:pPr>
              <w:pStyle w:val="TableParagraph"/>
              <w:spacing w:before="20"/>
              <w:rPr>
                <w:sz w:val="24"/>
                <w:szCs w:val="24"/>
              </w:rPr>
            </w:pPr>
            <w:r w:rsidRPr="00606974">
              <w:rPr>
                <w:sz w:val="24"/>
                <w:szCs w:val="24"/>
              </w:rPr>
              <w:t>Modificările propuse vor avea un impact semnificativ asupra mediului, contribuind direct la atingerea obiectivelor naționale și internaționale ale Republicii Moldova în domeniul energiei regenerabile și al reducerii emisiilor de gaze cu efect de seră. Implementarea mecanismului de facturare netă va sprijini tranziția către surse de energie mai curate și sustenabile, favorizând dezvoltarea capacităților de producție din surse regenerabile, cum ar fi energia solară</w:t>
            </w:r>
            <w:r w:rsidR="0043610B">
              <w:rPr>
                <w:sz w:val="24"/>
                <w:szCs w:val="24"/>
              </w:rPr>
              <w:t>,</w:t>
            </w:r>
            <w:r w:rsidRPr="00606974">
              <w:rPr>
                <w:sz w:val="24"/>
                <w:szCs w:val="24"/>
              </w:rPr>
              <w:t xml:space="preserve"> eoliană</w:t>
            </w:r>
            <w:r w:rsidR="0043610B">
              <w:rPr>
                <w:sz w:val="24"/>
                <w:szCs w:val="24"/>
              </w:rPr>
              <w:t xml:space="preserve"> dar și energia produsă din biogaz</w:t>
            </w:r>
            <w:r w:rsidRPr="00606974">
              <w:rPr>
                <w:sz w:val="24"/>
                <w:szCs w:val="24"/>
              </w:rPr>
              <w:t>. Acest lucru va reduce dependența de sursele tradiționale de energie, care sunt mai poluante, contribuind astfel la îmbunătățirea calității aerului și la reducerea poluării atmosferice.</w:t>
            </w:r>
          </w:p>
          <w:p w14:paraId="328E3CDE" w14:textId="77777777" w:rsidR="001A4669" w:rsidRPr="00606974" w:rsidRDefault="001A4669" w:rsidP="001A4669">
            <w:pPr>
              <w:pStyle w:val="TableParagraph"/>
              <w:spacing w:before="20"/>
              <w:rPr>
                <w:sz w:val="24"/>
                <w:szCs w:val="24"/>
              </w:rPr>
            </w:pPr>
            <w:r w:rsidRPr="00606974">
              <w:rPr>
                <w:sz w:val="24"/>
                <w:szCs w:val="24"/>
              </w:rPr>
              <w:t>Conform Planului Național Integrat privind Energia și Clima 2025-2030, unul dintre obiectivele strategice ale Republicii Moldova este ca, până în 2030, 27% din consumul final de energie să provină din surse regenerabile. Modificările propuse vor juca un rol esențial în atingerea acestui obiectiv, încurajând investițiile în proiecte de energie verde, care vor sprijini dezvoltarea unui sistem energetic durabil și performant.</w:t>
            </w:r>
          </w:p>
          <w:p w14:paraId="776DA41D" w14:textId="74A3B249" w:rsidR="001A4669" w:rsidRPr="00606974" w:rsidRDefault="001A4669" w:rsidP="001A4669">
            <w:pPr>
              <w:pStyle w:val="TableParagraph"/>
              <w:spacing w:before="20"/>
              <w:rPr>
                <w:sz w:val="24"/>
                <w:szCs w:val="24"/>
              </w:rPr>
            </w:pPr>
            <w:r w:rsidRPr="00606974">
              <w:rPr>
                <w:sz w:val="24"/>
                <w:szCs w:val="24"/>
              </w:rPr>
              <w:t>De asemenea, în concordanță cu acest plan, un alt obiectiv important este reducerea emisiilor de gaze cu efect de seră (GES) cu 68,6%, sau nu mai mult de 9,1 milioane de tone CO2 echivalent până în 2030 față de nivelul din 1990. Creșterea utilizării energiei regenerabile va contribui direct la acest obiectiv prin reducerea emisiilor generate de centralele pe combustibili fosili, sprijinind astfel protecția mediului și combaterea schimbărilor climatice.</w:t>
            </w:r>
          </w:p>
        </w:tc>
      </w:tr>
      <w:tr w:rsidR="004B6E6B" w:rsidRPr="00B62EB2" w14:paraId="39D8DE65" w14:textId="77777777" w:rsidTr="004E65EF">
        <w:trPr>
          <w:trHeight w:val="602"/>
        </w:trPr>
        <w:tc>
          <w:tcPr>
            <w:tcW w:w="10310" w:type="dxa"/>
          </w:tcPr>
          <w:p w14:paraId="22B94D58" w14:textId="23DB020B" w:rsidR="004B6E6B" w:rsidRPr="00606974" w:rsidRDefault="004B6E6B" w:rsidP="004B6E6B">
            <w:pPr>
              <w:pStyle w:val="TableParagraph"/>
              <w:numPr>
                <w:ilvl w:val="1"/>
                <w:numId w:val="4"/>
              </w:numPr>
              <w:spacing w:before="20"/>
              <w:rPr>
                <w:sz w:val="24"/>
                <w:szCs w:val="24"/>
              </w:rPr>
            </w:pPr>
            <w:r w:rsidRPr="00606974">
              <w:rPr>
                <w:sz w:val="24"/>
                <w:szCs w:val="24"/>
              </w:rPr>
              <w:t>Alte impacturi și informații relevante</w:t>
            </w:r>
          </w:p>
        </w:tc>
      </w:tr>
      <w:tr w:rsidR="004B6E6B" w:rsidRPr="00B62EB2" w14:paraId="0D6FBE6D" w14:textId="77777777" w:rsidTr="004E65EF">
        <w:trPr>
          <w:trHeight w:val="602"/>
        </w:trPr>
        <w:tc>
          <w:tcPr>
            <w:tcW w:w="10310" w:type="dxa"/>
          </w:tcPr>
          <w:p w14:paraId="6969730E" w14:textId="1236BBB7" w:rsidR="004B6E6B" w:rsidRPr="00606974" w:rsidRDefault="004B6E6B" w:rsidP="004B6E6B">
            <w:pPr>
              <w:pStyle w:val="TableParagraph"/>
              <w:spacing w:before="20"/>
              <w:rPr>
                <w:sz w:val="24"/>
                <w:szCs w:val="24"/>
              </w:rPr>
            </w:pPr>
            <w:r w:rsidRPr="00606974">
              <w:rPr>
                <w:sz w:val="24"/>
                <w:szCs w:val="24"/>
              </w:rPr>
              <w:t>Nu este aplicabil.</w:t>
            </w:r>
          </w:p>
        </w:tc>
      </w:tr>
      <w:tr w:rsidR="004B6E6B" w:rsidRPr="00B62EB2" w14:paraId="66EBC071" w14:textId="77777777" w:rsidTr="004E65EF">
        <w:trPr>
          <w:trHeight w:val="602"/>
        </w:trPr>
        <w:tc>
          <w:tcPr>
            <w:tcW w:w="10310" w:type="dxa"/>
          </w:tcPr>
          <w:p w14:paraId="588AFBD3" w14:textId="1AADCB5C" w:rsidR="004B6E6B" w:rsidRPr="005A4D37" w:rsidRDefault="004B6E6B" w:rsidP="004B6E6B">
            <w:pPr>
              <w:pStyle w:val="TableParagraph"/>
              <w:numPr>
                <w:ilvl w:val="0"/>
                <w:numId w:val="4"/>
              </w:numPr>
              <w:spacing w:before="20"/>
              <w:rPr>
                <w:b/>
                <w:sz w:val="24"/>
                <w:szCs w:val="24"/>
              </w:rPr>
            </w:pPr>
            <w:r w:rsidRPr="005A4D37">
              <w:rPr>
                <w:b/>
                <w:sz w:val="24"/>
                <w:szCs w:val="24"/>
              </w:rPr>
              <w:t>Compatibilitatea proiectului actului normativ cu legislația UE</w:t>
            </w:r>
          </w:p>
        </w:tc>
      </w:tr>
      <w:tr w:rsidR="004B6E6B" w:rsidRPr="00B62EB2" w14:paraId="150FCB18" w14:textId="77777777" w:rsidTr="004E65EF">
        <w:trPr>
          <w:trHeight w:val="602"/>
        </w:trPr>
        <w:tc>
          <w:tcPr>
            <w:tcW w:w="10310" w:type="dxa"/>
          </w:tcPr>
          <w:p w14:paraId="5FD54DA0" w14:textId="25DBCF67" w:rsidR="004B6E6B" w:rsidRPr="005A4D37" w:rsidRDefault="004B6E6B" w:rsidP="004B6E6B">
            <w:pPr>
              <w:pStyle w:val="TableParagraph"/>
              <w:numPr>
                <w:ilvl w:val="1"/>
                <w:numId w:val="4"/>
              </w:numPr>
              <w:spacing w:before="20"/>
              <w:rPr>
                <w:bCs/>
                <w:sz w:val="24"/>
                <w:szCs w:val="24"/>
              </w:rPr>
            </w:pPr>
            <w:r w:rsidRPr="005A4D37">
              <w:rPr>
                <w:bCs/>
                <w:sz w:val="24"/>
                <w:szCs w:val="24"/>
              </w:rPr>
              <w:t>Măsuri normative necesare pentru transpunerea actelor juridice ale UE în legislația națională</w:t>
            </w:r>
          </w:p>
        </w:tc>
      </w:tr>
      <w:tr w:rsidR="004B6E6B" w:rsidRPr="00B62EB2" w14:paraId="4C1B32C0" w14:textId="77777777" w:rsidTr="004E65EF">
        <w:trPr>
          <w:trHeight w:val="627"/>
        </w:trPr>
        <w:tc>
          <w:tcPr>
            <w:tcW w:w="10310" w:type="dxa"/>
          </w:tcPr>
          <w:p w14:paraId="27142D51" w14:textId="75E3A3D5" w:rsidR="004B6E6B" w:rsidRPr="005A4D37" w:rsidRDefault="004B6E6B" w:rsidP="004B6E6B">
            <w:pPr>
              <w:pStyle w:val="TableParagraph"/>
              <w:spacing w:before="133"/>
              <w:ind w:left="180" w:right="181"/>
              <w:rPr>
                <w:sz w:val="24"/>
                <w:szCs w:val="24"/>
              </w:rPr>
            </w:pPr>
            <w:r w:rsidRPr="005A4D37">
              <w:rPr>
                <w:sz w:val="24"/>
                <w:szCs w:val="24"/>
              </w:rPr>
              <w:t>Proiectul nu conține norme de armonizare a legislației naționale cu legislația Uniunii Europene.</w:t>
            </w:r>
          </w:p>
        </w:tc>
      </w:tr>
      <w:tr w:rsidR="004B6E6B" w:rsidRPr="00B62EB2" w14:paraId="64893C15" w14:textId="77777777" w:rsidTr="004E65EF">
        <w:trPr>
          <w:trHeight w:val="627"/>
        </w:trPr>
        <w:tc>
          <w:tcPr>
            <w:tcW w:w="10310" w:type="dxa"/>
          </w:tcPr>
          <w:p w14:paraId="15FB4B6C" w14:textId="571D1B36" w:rsidR="004B6E6B" w:rsidRPr="005A4D37" w:rsidRDefault="004B6E6B" w:rsidP="004B6E6B">
            <w:pPr>
              <w:pStyle w:val="TableParagraph"/>
              <w:numPr>
                <w:ilvl w:val="1"/>
                <w:numId w:val="4"/>
              </w:numPr>
              <w:spacing w:before="20"/>
              <w:rPr>
                <w:bCs/>
                <w:sz w:val="24"/>
                <w:szCs w:val="24"/>
              </w:rPr>
            </w:pPr>
            <w:r w:rsidRPr="005A4D37">
              <w:rPr>
                <w:bCs/>
                <w:sz w:val="24"/>
                <w:szCs w:val="24"/>
              </w:rPr>
              <w:t>Măsuri normative care urmăresc crearea cadrului juridic intern necesar pentru implementarea legislației UE</w:t>
            </w:r>
          </w:p>
        </w:tc>
      </w:tr>
      <w:tr w:rsidR="00EC4856" w:rsidRPr="00B62EB2" w14:paraId="1B339A4D" w14:textId="77777777" w:rsidTr="004E65EF">
        <w:trPr>
          <w:trHeight w:val="627"/>
        </w:trPr>
        <w:tc>
          <w:tcPr>
            <w:tcW w:w="10310" w:type="dxa"/>
          </w:tcPr>
          <w:p w14:paraId="685EE2E7" w14:textId="2F356816" w:rsidR="00EC4856" w:rsidRPr="005A4D37" w:rsidRDefault="00EC4856" w:rsidP="00EC4856">
            <w:pPr>
              <w:pStyle w:val="TableParagraph"/>
              <w:spacing w:before="20"/>
              <w:ind w:left="792"/>
              <w:rPr>
                <w:bCs/>
                <w:sz w:val="24"/>
                <w:szCs w:val="24"/>
              </w:rPr>
            </w:pPr>
            <w:r w:rsidRPr="005A4D37">
              <w:rPr>
                <w:sz w:val="24"/>
                <w:szCs w:val="24"/>
              </w:rPr>
              <w:t>Proiectul nu conține norme de armonizare a legislației naționale cu legislația Uniunii Europene.</w:t>
            </w:r>
          </w:p>
        </w:tc>
      </w:tr>
      <w:tr w:rsidR="00EC4856" w:rsidRPr="00B62EB2" w14:paraId="0AEEADD9" w14:textId="77777777" w:rsidTr="004E65EF">
        <w:trPr>
          <w:trHeight w:val="323"/>
        </w:trPr>
        <w:tc>
          <w:tcPr>
            <w:tcW w:w="10310" w:type="dxa"/>
          </w:tcPr>
          <w:p w14:paraId="722EDD5A" w14:textId="20AD0A35" w:rsidR="00EC4856" w:rsidRPr="00B62EB2" w:rsidRDefault="00EC4856" w:rsidP="00EC4856">
            <w:pPr>
              <w:pStyle w:val="TableParagraph"/>
              <w:numPr>
                <w:ilvl w:val="0"/>
                <w:numId w:val="4"/>
              </w:numPr>
              <w:spacing w:before="20"/>
              <w:rPr>
                <w:b/>
                <w:sz w:val="24"/>
              </w:rPr>
            </w:pPr>
            <w:r w:rsidRPr="00B62EB2">
              <w:rPr>
                <w:b/>
                <w:sz w:val="24"/>
              </w:rPr>
              <w:t>Avizarea și consultarea publică a proiectului actului normativ</w:t>
            </w:r>
          </w:p>
        </w:tc>
      </w:tr>
      <w:tr w:rsidR="00EC4856" w:rsidRPr="00B62EB2" w14:paraId="35E10BCA" w14:textId="77777777" w:rsidTr="004E65EF">
        <w:trPr>
          <w:trHeight w:val="835"/>
        </w:trPr>
        <w:tc>
          <w:tcPr>
            <w:tcW w:w="10310" w:type="dxa"/>
          </w:tcPr>
          <w:p w14:paraId="6851FEF0" w14:textId="77777777" w:rsidR="00EC4856" w:rsidRDefault="00543329" w:rsidP="00EC4856">
            <w:pPr>
              <w:pStyle w:val="TableParagraph"/>
              <w:spacing w:before="133"/>
              <w:ind w:left="180" w:right="181"/>
              <w:rPr>
                <w:sz w:val="24"/>
              </w:rPr>
            </w:pPr>
            <w:r w:rsidRPr="00543329">
              <w:rPr>
                <w:sz w:val="24"/>
              </w:rPr>
              <w:t>Anunțul de inițiere a proiectul a fost plasat pe platforma web (</w:t>
            </w:r>
            <w:hyperlink r:id="rId8" w:history="1">
              <w:r w:rsidR="0094658B" w:rsidRPr="00CF5C50">
                <w:rPr>
                  <w:rStyle w:val="Hyperlink"/>
                  <w:sz w:val="24"/>
                </w:rPr>
                <w:t>https://particip.gov.md/ro/document/stages/*/14168</w:t>
              </w:r>
            </w:hyperlink>
            <w:r w:rsidR="0094658B">
              <w:rPr>
                <w:sz w:val="24"/>
              </w:rPr>
              <w:t xml:space="preserve"> </w:t>
            </w:r>
            <w:r w:rsidRPr="00543329">
              <w:rPr>
                <w:sz w:val="24"/>
              </w:rPr>
              <w:t>) în conformitate cu prevederile Legii nr. 52/2003 privind transparența decizională în administrația publică.</w:t>
            </w:r>
            <w:r w:rsidR="00090B47">
              <w:rPr>
                <w:sz w:val="24"/>
              </w:rPr>
              <w:t xml:space="preserve"> </w:t>
            </w:r>
          </w:p>
          <w:p w14:paraId="11BDB54D" w14:textId="70DA8331" w:rsidR="00090B47" w:rsidRPr="00B62EB2" w:rsidRDefault="00090B47" w:rsidP="00EC4856">
            <w:pPr>
              <w:pStyle w:val="TableParagraph"/>
              <w:spacing w:before="133"/>
              <w:ind w:left="180" w:right="181"/>
              <w:rPr>
                <w:sz w:val="24"/>
              </w:rPr>
            </w:pPr>
            <w:r>
              <w:rPr>
                <w:sz w:val="24"/>
              </w:rPr>
              <w:t>Adițional, î</w:t>
            </w:r>
            <w:r w:rsidRPr="00090B47">
              <w:rPr>
                <w:sz w:val="24"/>
              </w:rPr>
              <w:t xml:space="preserve">n conformitate cu pct. 171 alin. 3) al Hotărârii Guvernului nr. 610/2018, </w:t>
            </w:r>
            <w:r>
              <w:rPr>
                <w:sz w:val="24"/>
              </w:rPr>
              <w:t>a fost</w:t>
            </w:r>
            <w:r w:rsidRPr="00090B47">
              <w:rPr>
                <w:sz w:val="24"/>
              </w:rPr>
              <w:t xml:space="preserve"> remi</w:t>
            </w:r>
            <w:r>
              <w:rPr>
                <w:sz w:val="24"/>
              </w:rPr>
              <w:t>s</w:t>
            </w:r>
            <w:r w:rsidRPr="00090B47">
              <w:rPr>
                <w:sz w:val="24"/>
              </w:rPr>
              <w:t xml:space="preserve"> spre consultare proiectul de hotărâre privind modificarea Hotărârii Guvernului nr. 401/2021 cu privire la aprobarea limitelor de capacitate, a cotelor maxime și a categoriilor de capacitate în domeniul energiei electrice din surse regenerabile valabile până la data de 31 decembrie 2025</w:t>
            </w:r>
            <w:r>
              <w:rPr>
                <w:sz w:val="24"/>
              </w:rPr>
              <w:t xml:space="preserve"> prin scrisoarea nr. 04-1048 din 15 aprilie 2025 și plasat pe platforma web ( </w:t>
            </w:r>
            <w:hyperlink r:id="rId9" w:history="1">
              <w:r w:rsidRPr="007664F6">
                <w:rPr>
                  <w:rStyle w:val="Hyperlink"/>
                  <w:sz w:val="24"/>
                </w:rPr>
                <w:t>https://particip.gov.md/ro/document/stages/*/14300</w:t>
              </w:r>
            </w:hyperlink>
            <w:r>
              <w:rPr>
                <w:sz w:val="24"/>
              </w:rPr>
              <w:t xml:space="preserve"> )</w:t>
            </w:r>
            <w:r w:rsidR="00C05E82">
              <w:rPr>
                <w:sz w:val="24"/>
              </w:rPr>
              <w:t>, termenul fiind 30 aprilie 2025</w:t>
            </w:r>
            <w:r>
              <w:rPr>
                <w:sz w:val="24"/>
              </w:rPr>
              <w:t>.</w:t>
            </w:r>
          </w:p>
        </w:tc>
      </w:tr>
      <w:tr w:rsidR="00EC4856" w:rsidRPr="00B62EB2" w14:paraId="04D318D2" w14:textId="77777777" w:rsidTr="004E65EF">
        <w:trPr>
          <w:trHeight w:val="325"/>
        </w:trPr>
        <w:tc>
          <w:tcPr>
            <w:tcW w:w="10310" w:type="dxa"/>
          </w:tcPr>
          <w:p w14:paraId="158E07EF" w14:textId="48E3924F" w:rsidR="00EC4856" w:rsidRPr="00B62EB2" w:rsidRDefault="00EC4856" w:rsidP="00EC4856">
            <w:pPr>
              <w:pStyle w:val="TableParagraph"/>
              <w:numPr>
                <w:ilvl w:val="0"/>
                <w:numId w:val="4"/>
              </w:numPr>
              <w:spacing w:before="20"/>
              <w:rPr>
                <w:b/>
                <w:sz w:val="24"/>
              </w:rPr>
            </w:pPr>
            <w:r w:rsidRPr="00B62EB2">
              <w:rPr>
                <w:b/>
                <w:sz w:val="24"/>
              </w:rPr>
              <w:lastRenderedPageBreak/>
              <w:t>Concluziile expertizelor</w:t>
            </w:r>
          </w:p>
        </w:tc>
      </w:tr>
      <w:tr w:rsidR="00EC4856" w:rsidRPr="00B62EB2" w14:paraId="39C820C7" w14:textId="77777777" w:rsidTr="004E65EF">
        <w:trPr>
          <w:trHeight w:val="325"/>
        </w:trPr>
        <w:tc>
          <w:tcPr>
            <w:tcW w:w="10310" w:type="dxa"/>
          </w:tcPr>
          <w:p w14:paraId="65D1B98C" w14:textId="22B0C99F" w:rsidR="00543329" w:rsidRPr="00606974" w:rsidRDefault="00543329" w:rsidP="00737675">
            <w:pPr>
              <w:pStyle w:val="TableParagraph"/>
              <w:spacing w:before="20"/>
              <w:rPr>
                <w:sz w:val="24"/>
                <w:szCs w:val="24"/>
              </w:rPr>
            </w:pPr>
            <w:r w:rsidRPr="00606974">
              <w:rPr>
                <w:sz w:val="24"/>
                <w:szCs w:val="24"/>
              </w:rPr>
              <w:t>Urmează a fi supus expertizei juridice și anticorupție</w:t>
            </w:r>
            <w:r w:rsidR="00737675">
              <w:rPr>
                <w:sz w:val="24"/>
                <w:szCs w:val="24"/>
              </w:rPr>
              <w:t xml:space="preserve"> și </w:t>
            </w:r>
            <w:r w:rsidR="00C93865" w:rsidRPr="00C93865">
              <w:rPr>
                <w:sz w:val="24"/>
                <w:szCs w:val="24"/>
              </w:rPr>
              <w:t>Grupului de lucru al Comisiei de stat pentru reglementarea activității de întreprinzător</w:t>
            </w:r>
            <w:r w:rsidR="00C93865">
              <w:rPr>
                <w:sz w:val="24"/>
                <w:szCs w:val="24"/>
              </w:rPr>
              <w:t>.</w:t>
            </w:r>
          </w:p>
        </w:tc>
      </w:tr>
    </w:tbl>
    <w:p w14:paraId="641D5742" w14:textId="77777777" w:rsidR="004842D3" w:rsidRPr="00B62EB2" w:rsidRDefault="004842D3" w:rsidP="00703E15">
      <w:pPr>
        <w:jc w:val="both"/>
        <w:rPr>
          <w:sz w:val="20"/>
        </w:rPr>
      </w:pPr>
    </w:p>
    <w:p w14:paraId="54A9730A" w14:textId="77777777" w:rsidR="004842D3" w:rsidRDefault="004842D3" w:rsidP="00703E15">
      <w:pPr>
        <w:spacing w:before="5"/>
        <w:jc w:val="both"/>
        <w:rPr>
          <w:sz w:val="21"/>
        </w:rPr>
      </w:pPr>
    </w:p>
    <w:p w14:paraId="30D0779F" w14:textId="77777777" w:rsidR="00543329" w:rsidRDefault="00543329" w:rsidP="00703E15">
      <w:pPr>
        <w:spacing w:before="5"/>
        <w:jc w:val="both"/>
        <w:rPr>
          <w:sz w:val="21"/>
        </w:rPr>
      </w:pPr>
    </w:p>
    <w:p w14:paraId="4DAE7000" w14:textId="77777777" w:rsidR="00ED57D5" w:rsidRDefault="00ED57D5" w:rsidP="00703E15">
      <w:pPr>
        <w:spacing w:before="5"/>
        <w:jc w:val="both"/>
        <w:rPr>
          <w:sz w:val="21"/>
        </w:rPr>
      </w:pPr>
    </w:p>
    <w:p w14:paraId="2EC4E27E" w14:textId="77777777" w:rsidR="00ED57D5" w:rsidRPr="00B62EB2" w:rsidRDefault="00ED57D5" w:rsidP="00703E15">
      <w:pPr>
        <w:spacing w:before="5"/>
        <w:jc w:val="both"/>
        <w:rPr>
          <w:sz w:val="21"/>
        </w:rPr>
      </w:pPr>
    </w:p>
    <w:p w14:paraId="03AF2E56" w14:textId="4CB9C891" w:rsidR="004842D3" w:rsidRDefault="00543329" w:rsidP="00703E15">
      <w:pPr>
        <w:pStyle w:val="BodyText"/>
        <w:tabs>
          <w:tab w:val="left" w:pos="6962"/>
        </w:tabs>
        <w:ind w:left="482"/>
        <w:jc w:val="both"/>
      </w:pPr>
      <w:r>
        <w:t xml:space="preserve">Secretară de Stat                       </w:t>
      </w:r>
      <w:r w:rsidR="00113517">
        <w:t xml:space="preserve">         </w:t>
      </w:r>
      <w:r>
        <w:t xml:space="preserve"> </w:t>
      </w:r>
      <w:r w:rsidRPr="00606974">
        <w:rPr>
          <w:b w:val="0"/>
          <w:bCs w:val="0"/>
          <w:i/>
          <w:iCs/>
        </w:rPr>
        <w:t>/semnat electronic/</w:t>
      </w:r>
      <w:r>
        <w:t xml:space="preserve">                                Carolina NOVAC</w:t>
      </w:r>
    </w:p>
    <w:p w14:paraId="7733DA7F" w14:textId="77777777" w:rsidR="00ED57D5" w:rsidRDefault="00ED57D5" w:rsidP="00703E15">
      <w:pPr>
        <w:pStyle w:val="BodyText"/>
        <w:tabs>
          <w:tab w:val="left" w:pos="6962"/>
        </w:tabs>
        <w:ind w:left="482"/>
        <w:jc w:val="both"/>
      </w:pPr>
    </w:p>
    <w:p w14:paraId="3BB79763" w14:textId="77777777" w:rsidR="00ED57D5" w:rsidRDefault="00ED57D5" w:rsidP="00703E15">
      <w:pPr>
        <w:pStyle w:val="BodyText"/>
        <w:tabs>
          <w:tab w:val="left" w:pos="6962"/>
        </w:tabs>
        <w:ind w:left="482"/>
        <w:jc w:val="both"/>
      </w:pPr>
    </w:p>
    <w:p w14:paraId="24AA0B78" w14:textId="77777777" w:rsidR="00ED57D5" w:rsidRDefault="00ED57D5" w:rsidP="00703E15">
      <w:pPr>
        <w:pStyle w:val="BodyText"/>
        <w:tabs>
          <w:tab w:val="left" w:pos="6962"/>
        </w:tabs>
        <w:ind w:left="482"/>
        <w:jc w:val="both"/>
      </w:pPr>
    </w:p>
    <w:p w14:paraId="5753E218" w14:textId="77777777" w:rsidR="00ED57D5" w:rsidRDefault="00ED57D5" w:rsidP="00703E15">
      <w:pPr>
        <w:pStyle w:val="BodyText"/>
        <w:tabs>
          <w:tab w:val="left" w:pos="6962"/>
        </w:tabs>
        <w:ind w:left="482"/>
        <w:jc w:val="both"/>
      </w:pPr>
    </w:p>
    <w:p w14:paraId="001400BA" w14:textId="77777777" w:rsidR="00ED57D5" w:rsidRDefault="00ED57D5" w:rsidP="00703E15">
      <w:pPr>
        <w:pStyle w:val="BodyText"/>
        <w:tabs>
          <w:tab w:val="left" w:pos="6962"/>
        </w:tabs>
        <w:ind w:left="482"/>
        <w:jc w:val="both"/>
      </w:pPr>
    </w:p>
    <w:p w14:paraId="5046DC92" w14:textId="77777777" w:rsidR="00ED57D5" w:rsidRDefault="00ED57D5" w:rsidP="00703E15">
      <w:pPr>
        <w:pStyle w:val="BodyText"/>
        <w:tabs>
          <w:tab w:val="left" w:pos="6962"/>
        </w:tabs>
        <w:ind w:left="482"/>
        <w:jc w:val="both"/>
      </w:pPr>
    </w:p>
    <w:p w14:paraId="19DC5658" w14:textId="77777777" w:rsidR="00ED57D5" w:rsidRDefault="00ED57D5" w:rsidP="00703E15">
      <w:pPr>
        <w:pStyle w:val="BodyText"/>
        <w:tabs>
          <w:tab w:val="left" w:pos="6962"/>
        </w:tabs>
        <w:ind w:left="482"/>
        <w:jc w:val="both"/>
      </w:pPr>
    </w:p>
    <w:p w14:paraId="72D3D49F" w14:textId="77777777" w:rsidR="00ED57D5" w:rsidRDefault="00ED57D5" w:rsidP="00703E15">
      <w:pPr>
        <w:pStyle w:val="BodyText"/>
        <w:tabs>
          <w:tab w:val="left" w:pos="6962"/>
        </w:tabs>
        <w:ind w:left="482"/>
        <w:jc w:val="both"/>
      </w:pPr>
    </w:p>
    <w:p w14:paraId="5B9DA810" w14:textId="77777777" w:rsidR="00ED57D5" w:rsidRDefault="00ED57D5" w:rsidP="00703E15">
      <w:pPr>
        <w:pStyle w:val="BodyText"/>
        <w:tabs>
          <w:tab w:val="left" w:pos="6962"/>
        </w:tabs>
        <w:ind w:left="482"/>
        <w:jc w:val="both"/>
      </w:pPr>
    </w:p>
    <w:p w14:paraId="5E594928" w14:textId="77777777" w:rsidR="00ED57D5" w:rsidRDefault="00ED57D5" w:rsidP="00703E15">
      <w:pPr>
        <w:pStyle w:val="BodyText"/>
        <w:tabs>
          <w:tab w:val="left" w:pos="6962"/>
        </w:tabs>
        <w:ind w:left="482"/>
        <w:jc w:val="both"/>
      </w:pPr>
    </w:p>
    <w:p w14:paraId="37BD00BD" w14:textId="77777777" w:rsidR="00ED57D5" w:rsidRDefault="00ED57D5" w:rsidP="00703E15">
      <w:pPr>
        <w:pStyle w:val="BodyText"/>
        <w:tabs>
          <w:tab w:val="left" w:pos="6962"/>
        </w:tabs>
        <w:ind w:left="482"/>
        <w:jc w:val="both"/>
      </w:pPr>
    </w:p>
    <w:p w14:paraId="60A62BD2" w14:textId="77777777" w:rsidR="00ED57D5" w:rsidRDefault="00ED57D5" w:rsidP="00703E15">
      <w:pPr>
        <w:pStyle w:val="BodyText"/>
        <w:tabs>
          <w:tab w:val="left" w:pos="6962"/>
        </w:tabs>
        <w:ind w:left="482"/>
        <w:jc w:val="both"/>
      </w:pPr>
    </w:p>
    <w:p w14:paraId="337A3191" w14:textId="77777777" w:rsidR="00ED57D5" w:rsidRDefault="00ED57D5" w:rsidP="00703E15">
      <w:pPr>
        <w:pStyle w:val="BodyText"/>
        <w:tabs>
          <w:tab w:val="left" w:pos="6962"/>
        </w:tabs>
        <w:ind w:left="482"/>
        <w:jc w:val="both"/>
      </w:pPr>
    </w:p>
    <w:p w14:paraId="474787D3" w14:textId="77777777" w:rsidR="00ED57D5" w:rsidRDefault="00ED57D5" w:rsidP="00703E15">
      <w:pPr>
        <w:pStyle w:val="BodyText"/>
        <w:tabs>
          <w:tab w:val="left" w:pos="6962"/>
        </w:tabs>
        <w:ind w:left="482"/>
        <w:jc w:val="both"/>
      </w:pPr>
    </w:p>
    <w:p w14:paraId="14837815" w14:textId="77777777" w:rsidR="00ED57D5" w:rsidRDefault="00ED57D5" w:rsidP="00703E15">
      <w:pPr>
        <w:pStyle w:val="BodyText"/>
        <w:tabs>
          <w:tab w:val="left" w:pos="6962"/>
        </w:tabs>
        <w:ind w:left="482"/>
        <w:jc w:val="both"/>
      </w:pPr>
    </w:p>
    <w:p w14:paraId="0112B9DC" w14:textId="77777777" w:rsidR="00ED57D5" w:rsidRDefault="00ED57D5" w:rsidP="00703E15">
      <w:pPr>
        <w:pStyle w:val="BodyText"/>
        <w:tabs>
          <w:tab w:val="left" w:pos="6962"/>
        </w:tabs>
        <w:ind w:left="482"/>
        <w:jc w:val="both"/>
      </w:pPr>
    </w:p>
    <w:p w14:paraId="710D555E" w14:textId="77777777" w:rsidR="00ED57D5" w:rsidRDefault="00ED57D5" w:rsidP="00703E15">
      <w:pPr>
        <w:pStyle w:val="BodyText"/>
        <w:tabs>
          <w:tab w:val="left" w:pos="6962"/>
        </w:tabs>
        <w:ind w:left="482"/>
        <w:jc w:val="both"/>
      </w:pPr>
    </w:p>
    <w:p w14:paraId="7C129008" w14:textId="77777777" w:rsidR="00ED57D5" w:rsidRDefault="00ED57D5" w:rsidP="00703E15">
      <w:pPr>
        <w:pStyle w:val="BodyText"/>
        <w:tabs>
          <w:tab w:val="left" w:pos="6962"/>
        </w:tabs>
        <w:ind w:left="482"/>
        <w:jc w:val="both"/>
      </w:pPr>
    </w:p>
    <w:p w14:paraId="1A4CB3E2" w14:textId="77777777" w:rsidR="00ED57D5" w:rsidRDefault="00ED57D5" w:rsidP="00703E15">
      <w:pPr>
        <w:pStyle w:val="BodyText"/>
        <w:tabs>
          <w:tab w:val="left" w:pos="6962"/>
        </w:tabs>
        <w:ind w:left="482"/>
        <w:jc w:val="both"/>
      </w:pPr>
    </w:p>
    <w:p w14:paraId="3A8299F4" w14:textId="77777777" w:rsidR="00ED57D5" w:rsidRDefault="00ED57D5" w:rsidP="00703E15">
      <w:pPr>
        <w:pStyle w:val="BodyText"/>
        <w:tabs>
          <w:tab w:val="left" w:pos="6962"/>
        </w:tabs>
        <w:ind w:left="482"/>
        <w:jc w:val="both"/>
      </w:pPr>
    </w:p>
    <w:p w14:paraId="516844B9" w14:textId="77777777" w:rsidR="00ED57D5" w:rsidRDefault="00ED57D5" w:rsidP="00703E15">
      <w:pPr>
        <w:pStyle w:val="BodyText"/>
        <w:tabs>
          <w:tab w:val="left" w:pos="6962"/>
        </w:tabs>
        <w:ind w:left="482"/>
        <w:jc w:val="both"/>
      </w:pPr>
    </w:p>
    <w:p w14:paraId="1DFA7CB1" w14:textId="77777777" w:rsidR="00ED57D5" w:rsidRDefault="00ED57D5" w:rsidP="00703E15">
      <w:pPr>
        <w:pStyle w:val="BodyText"/>
        <w:tabs>
          <w:tab w:val="left" w:pos="6962"/>
        </w:tabs>
        <w:ind w:left="482"/>
        <w:jc w:val="both"/>
      </w:pPr>
    </w:p>
    <w:p w14:paraId="47E96004" w14:textId="77777777" w:rsidR="00ED57D5" w:rsidRDefault="00ED57D5" w:rsidP="00703E15">
      <w:pPr>
        <w:pStyle w:val="BodyText"/>
        <w:tabs>
          <w:tab w:val="left" w:pos="6962"/>
        </w:tabs>
        <w:ind w:left="482"/>
        <w:jc w:val="both"/>
      </w:pPr>
    </w:p>
    <w:p w14:paraId="4DC7D156" w14:textId="77777777" w:rsidR="00ED57D5" w:rsidRDefault="00ED57D5" w:rsidP="00703E15">
      <w:pPr>
        <w:pStyle w:val="BodyText"/>
        <w:tabs>
          <w:tab w:val="left" w:pos="6962"/>
        </w:tabs>
        <w:ind w:left="482"/>
        <w:jc w:val="both"/>
      </w:pPr>
    </w:p>
    <w:p w14:paraId="4A490914" w14:textId="77777777" w:rsidR="00ED57D5" w:rsidRDefault="00ED57D5" w:rsidP="00703E15">
      <w:pPr>
        <w:pStyle w:val="BodyText"/>
        <w:tabs>
          <w:tab w:val="left" w:pos="6962"/>
        </w:tabs>
        <w:ind w:left="482"/>
        <w:jc w:val="both"/>
      </w:pPr>
    </w:p>
    <w:p w14:paraId="408FBD46" w14:textId="77777777" w:rsidR="00ED57D5" w:rsidRDefault="00ED57D5" w:rsidP="00703E15">
      <w:pPr>
        <w:pStyle w:val="BodyText"/>
        <w:tabs>
          <w:tab w:val="left" w:pos="6962"/>
        </w:tabs>
        <w:ind w:left="482"/>
        <w:jc w:val="both"/>
      </w:pPr>
    </w:p>
    <w:p w14:paraId="2438ED3E" w14:textId="77777777" w:rsidR="00ED57D5" w:rsidRDefault="00ED57D5" w:rsidP="00703E15">
      <w:pPr>
        <w:pStyle w:val="BodyText"/>
        <w:tabs>
          <w:tab w:val="left" w:pos="6962"/>
        </w:tabs>
        <w:ind w:left="482"/>
        <w:jc w:val="both"/>
      </w:pPr>
    </w:p>
    <w:p w14:paraId="05D58E36" w14:textId="77777777" w:rsidR="00ED57D5" w:rsidRDefault="00ED57D5" w:rsidP="00703E15">
      <w:pPr>
        <w:pStyle w:val="BodyText"/>
        <w:tabs>
          <w:tab w:val="left" w:pos="6962"/>
        </w:tabs>
        <w:ind w:left="482"/>
        <w:jc w:val="both"/>
      </w:pPr>
    </w:p>
    <w:p w14:paraId="38DB0089" w14:textId="77777777" w:rsidR="00ED57D5" w:rsidRDefault="00ED57D5" w:rsidP="00703E15">
      <w:pPr>
        <w:pStyle w:val="BodyText"/>
        <w:tabs>
          <w:tab w:val="left" w:pos="6962"/>
        </w:tabs>
        <w:ind w:left="482"/>
        <w:jc w:val="both"/>
      </w:pPr>
    </w:p>
    <w:p w14:paraId="3F525BB0" w14:textId="77777777" w:rsidR="00ED57D5" w:rsidRDefault="00ED57D5" w:rsidP="00703E15">
      <w:pPr>
        <w:pStyle w:val="BodyText"/>
        <w:tabs>
          <w:tab w:val="left" w:pos="6962"/>
        </w:tabs>
        <w:ind w:left="482"/>
        <w:jc w:val="both"/>
      </w:pPr>
    </w:p>
    <w:p w14:paraId="32C4A278" w14:textId="77777777" w:rsidR="00ED57D5" w:rsidRDefault="00ED57D5" w:rsidP="00703E15">
      <w:pPr>
        <w:pStyle w:val="BodyText"/>
        <w:tabs>
          <w:tab w:val="left" w:pos="6962"/>
        </w:tabs>
        <w:ind w:left="482"/>
        <w:jc w:val="both"/>
      </w:pPr>
    </w:p>
    <w:p w14:paraId="6D149C34" w14:textId="77777777" w:rsidR="00ED57D5" w:rsidRDefault="00ED57D5" w:rsidP="00703E15">
      <w:pPr>
        <w:pStyle w:val="BodyText"/>
        <w:tabs>
          <w:tab w:val="left" w:pos="6962"/>
        </w:tabs>
        <w:ind w:left="482"/>
        <w:jc w:val="both"/>
      </w:pPr>
    </w:p>
    <w:p w14:paraId="45D5FF97" w14:textId="77777777" w:rsidR="00ED57D5" w:rsidRDefault="00ED57D5" w:rsidP="00703E15">
      <w:pPr>
        <w:pStyle w:val="BodyText"/>
        <w:tabs>
          <w:tab w:val="left" w:pos="6962"/>
        </w:tabs>
        <w:ind w:left="482"/>
        <w:jc w:val="both"/>
      </w:pPr>
    </w:p>
    <w:p w14:paraId="0FF56A7E" w14:textId="77777777" w:rsidR="00ED57D5" w:rsidRDefault="00ED57D5" w:rsidP="00703E15">
      <w:pPr>
        <w:pStyle w:val="BodyText"/>
        <w:tabs>
          <w:tab w:val="left" w:pos="6962"/>
        </w:tabs>
        <w:ind w:left="482"/>
        <w:jc w:val="both"/>
      </w:pPr>
    </w:p>
    <w:p w14:paraId="74A24CC5" w14:textId="77777777" w:rsidR="00ED57D5" w:rsidRDefault="00ED57D5" w:rsidP="00703E15">
      <w:pPr>
        <w:pStyle w:val="BodyText"/>
        <w:tabs>
          <w:tab w:val="left" w:pos="6962"/>
        </w:tabs>
        <w:ind w:left="482"/>
        <w:jc w:val="both"/>
      </w:pPr>
    </w:p>
    <w:p w14:paraId="70ABA0FF" w14:textId="77777777" w:rsidR="00ED57D5" w:rsidRDefault="00ED57D5" w:rsidP="00ED57D5">
      <w:pPr>
        <w:tabs>
          <w:tab w:val="left" w:pos="1680"/>
        </w:tabs>
        <w:rPr>
          <w:sz w:val="24"/>
          <w:szCs w:val="24"/>
          <w:lang w:val="ro-MD" w:eastAsia="ru-RU"/>
        </w:rPr>
      </w:pPr>
    </w:p>
    <w:p w14:paraId="034C4383" w14:textId="77777777" w:rsidR="00ED57D5" w:rsidRDefault="00ED57D5" w:rsidP="00ED57D5">
      <w:pPr>
        <w:tabs>
          <w:tab w:val="left" w:pos="1680"/>
        </w:tabs>
        <w:rPr>
          <w:sz w:val="24"/>
          <w:szCs w:val="24"/>
          <w:lang w:val="ro-MD" w:eastAsia="ru-RU"/>
        </w:rPr>
      </w:pPr>
    </w:p>
    <w:p w14:paraId="1FC6A938" w14:textId="77777777" w:rsidR="00ED57D5" w:rsidRDefault="00ED57D5" w:rsidP="00ED57D5">
      <w:pPr>
        <w:ind w:left="-142" w:right="312" w:firstLine="270"/>
        <w:rPr>
          <w:i/>
          <w:sz w:val="16"/>
          <w:szCs w:val="16"/>
        </w:rPr>
      </w:pPr>
      <w:r w:rsidRPr="00DF21BF">
        <w:rPr>
          <w:i/>
          <w:sz w:val="16"/>
          <w:szCs w:val="16"/>
        </w:rPr>
        <w:t xml:space="preserve">Ex. </w:t>
      </w:r>
      <w:r>
        <w:rPr>
          <w:i/>
          <w:sz w:val="16"/>
          <w:szCs w:val="16"/>
        </w:rPr>
        <w:t>Dan BRAGA,</w:t>
      </w:r>
    </w:p>
    <w:p w14:paraId="23569EC4" w14:textId="77777777" w:rsidR="00ED57D5" w:rsidRPr="00A02736" w:rsidRDefault="00ED57D5" w:rsidP="00ED57D5">
      <w:pPr>
        <w:ind w:left="-142" w:right="312" w:firstLine="270"/>
        <w:rPr>
          <w:i/>
          <w:sz w:val="16"/>
          <w:szCs w:val="16"/>
        </w:rPr>
      </w:pPr>
      <w:r>
        <w:rPr>
          <w:i/>
          <w:sz w:val="16"/>
          <w:szCs w:val="16"/>
        </w:rPr>
        <w:t xml:space="preserve"> e-mail: </w:t>
      </w:r>
      <w:hyperlink r:id="rId10" w:history="1">
        <w:r w:rsidRPr="00D85B9F">
          <w:rPr>
            <w:rStyle w:val="Hyperlink"/>
            <w:i/>
            <w:sz w:val="16"/>
            <w:szCs w:val="16"/>
          </w:rPr>
          <w:t>dan.braga@energie.gov.md</w:t>
        </w:r>
      </w:hyperlink>
      <w:r>
        <w:rPr>
          <w:i/>
          <w:sz w:val="16"/>
          <w:szCs w:val="16"/>
        </w:rPr>
        <w:t xml:space="preserve">  </w:t>
      </w:r>
    </w:p>
    <w:p w14:paraId="4D159261" w14:textId="77777777" w:rsidR="00ED57D5" w:rsidRPr="00E75F4E" w:rsidRDefault="00ED57D5" w:rsidP="00ED57D5">
      <w:pPr>
        <w:rPr>
          <w:rFonts w:ascii="Cambria" w:hAnsi="Cambria" w:cs="Cambria"/>
          <w:sz w:val="16"/>
          <w:szCs w:val="16"/>
        </w:rPr>
      </w:pPr>
      <w:r w:rsidRPr="00E75F4E">
        <w:rPr>
          <w:rFonts w:ascii="Cambria" w:hAnsi="Cambria" w:cs="Cambria"/>
          <w:noProof/>
          <w:sz w:val="16"/>
          <w:szCs w:val="16"/>
          <w:lang w:val="en-GB" w:eastAsia="en-GB"/>
        </w:rPr>
        <mc:AlternateContent>
          <mc:Choice Requires="wps">
            <w:drawing>
              <wp:anchor distT="4294967295" distB="4294967295" distL="114300" distR="114300" simplePos="0" relativeHeight="251659264" behindDoc="0" locked="0" layoutInCell="1" allowOverlap="1" wp14:anchorId="50AA6651" wp14:editId="34241B00">
                <wp:simplePos x="0" y="0"/>
                <wp:positionH relativeFrom="margin">
                  <wp:posOffset>98425</wp:posOffset>
                </wp:positionH>
                <wp:positionV relativeFrom="paragraph">
                  <wp:posOffset>17079</wp:posOffset>
                </wp:positionV>
                <wp:extent cx="8429625" cy="3810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3808F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75pt,1.35pt" to="67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">
                <o:lock v:ext="edit" shapetype="f"/>
                <w10:wrap anchorx="margin"/>
              </v:line>
            </w:pict>
          </mc:Fallback>
        </mc:AlternateContent>
      </w:r>
    </w:p>
    <w:p w14:paraId="4F9D7086" w14:textId="77777777" w:rsidR="00ED57D5" w:rsidRDefault="00ED57D5" w:rsidP="00ED57D5">
      <w:pPr>
        <w:jc w:val="center"/>
        <w:rPr>
          <w:sz w:val="16"/>
          <w:szCs w:val="16"/>
        </w:rPr>
      </w:pPr>
      <w:r>
        <w:rPr>
          <w:sz w:val="16"/>
          <w:szCs w:val="16"/>
        </w:rPr>
        <w:t>Bd. Ștefan cel Mare și Sfânt</w:t>
      </w:r>
      <w:r w:rsidRPr="00E75F4E">
        <w:rPr>
          <w:sz w:val="16"/>
          <w:szCs w:val="16"/>
        </w:rPr>
        <w:t xml:space="preserve"> nr. 1</w:t>
      </w:r>
      <w:r>
        <w:rPr>
          <w:sz w:val="16"/>
          <w:szCs w:val="16"/>
        </w:rPr>
        <w:t>34</w:t>
      </w:r>
      <w:r w:rsidRPr="00E75F4E">
        <w:rPr>
          <w:sz w:val="16"/>
          <w:szCs w:val="16"/>
        </w:rPr>
        <w:t>, Chișinău</w:t>
      </w:r>
      <w:r>
        <w:rPr>
          <w:sz w:val="16"/>
          <w:szCs w:val="16"/>
        </w:rPr>
        <w:t>, MD-2012, tel. +373-22-25-01-31, fax +373-22-23-40-64</w:t>
      </w:r>
    </w:p>
    <w:p w14:paraId="65F2A3FD" w14:textId="77777777" w:rsidR="00ED57D5" w:rsidRPr="00B17A3C" w:rsidRDefault="00ED57D5" w:rsidP="00ED57D5">
      <w:pPr>
        <w:tabs>
          <w:tab w:val="left" w:pos="720"/>
        </w:tabs>
        <w:jc w:val="center"/>
        <w:rPr>
          <w:sz w:val="16"/>
          <w:szCs w:val="16"/>
        </w:rPr>
      </w:pPr>
      <w:r w:rsidRPr="00E75F4E">
        <w:rPr>
          <w:sz w:val="16"/>
          <w:szCs w:val="16"/>
        </w:rPr>
        <w:t xml:space="preserve">E-mail: </w:t>
      </w:r>
      <w:hyperlink r:id="rId11" w:history="1">
        <w:r w:rsidRPr="007E5E77">
          <w:rPr>
            <w:rStyle w:val="Hyperlink"/>
            <w:sz w:val="16"/>
            <w:szCs w:val="16"/>
          </w:rPr>
          <w:t>secretariat@energie.gov.md</w:t>
        </w:r>
      </w:hyperlink>
      <w:r w:rsidRPr="00E75F4E">
        <w:rPr>
          <w:rStyle w:val="Hyperlink"/>
          <w:sz w:val="16"/>
          <w:szCs w:val="16"/>
        </w:rPr>
        <w:t xml:space="preserve">  </w:t>
      </w:r>
      <w:r w:rsidRPr="00E75F4E">
        <w:rPr>
          <w:sz w:val="16"/>
          <w:szCs w:val="16"/>
        </w:rPr>
        <w:t xml:space="preserve">Pagina web: </w:t>
      </w:r>
      <w:hyperlink r:id="rId12" w:history="1">
        <w:r>
          <w:rPr>
            <w:rStyle w:val="Hyperlink"/>
            <w:sz w:val="16"/>
            <w:szCs w:val="16"/>
          </w:rPr>
          <w:t>www.energie</w:t>
        </w:r>
        <w:r w:rsidRPr="00E75F4E">
          <w:rPr>
            <w:rStyle w:val="Hyperlink"/>
            <w:sz w:val="16"/>
            <w:szCs w:val="16"/>
          </w:rPr>
          <w:t>.gov.md</w:t>
        </w:r>
      </w:hyperlink>
    </w:p>
    <w:sectPr w:rsidR="00ED57D5" w:rsidRPr="00B17A3C">
      <w:footerReference w:type="default" r:id="rId13"/>
      <w:pgSz w:w="12240" w:h="15840"/>
      <w:pgMar w:top="1140" w:right="860" w:bottom="1120" w:left="122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4CC6" w14:textId="77777777" w:rsidR="000C1066" w:rsidRPr="003F39DC" w:rsidRDefault="000C1066">
      <w:r w:rsidRPr="003F39DC">
        <w:separator/>
      </w:r>
    </w:p>
  </w:endnote>
  <w:endnote w:type="continuationSeparator" w:id="0">
    <w:p w14:paraId="663B5C92" w14:textId="77777777" w:rsidR="000C1066" w:rsidRPr="003F39DC" w:rsidRDefault="000C1066">
      <w:r w:rsidRPr="003F3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2373" w14:textId="3BA07BC8" w:rsidR="004842D3" w:rsidRPr="003F39DC" w:rsidRDefault="003F2833">
    <w:pPr>
      <w:pStyle w:val="BodyText"/>
      <w:spacing w:line="14" w:lineRule="auto"/>
      <w:rPr>
        <w:b w:val="0"/>
        <w:sz w:val="20"/>
      </w:rPr>
    </w:pPr>
    <w:r w:rsidRPr="003F39DC">
      <w:rPr>
        <w:noProof/>
        <w:lang w:eastAsia="ru-RU"/>
      </w:rPr>
      <mc:AlternateContent>
        <mc:Choice Requires="wps">
          <w:drawing>
            <wp:anchor distT="0" distB="0" distL="114300" distR="114300" simplePos="0" relativeHeight="251657728" behindDoc="1" locked="0" layoutInCell="1" allowOverlap="1" wp14:anchorId="1DF2669D" wp14:editId="0E24FA3C">
              <wp:simplePos x="0" y="0"/>
              <wp:positionH relativeFrom="page">
                <wp:posOffset>7125970</wp:posOffset>
              </wp:positionH>
              <wp:positionV relativeFrom="page">
                <wp:posOffset>9274175</wp:posOffset>
              </wp:positionV>
              <wp:extent cx="147320" cy="165735"/>
              <wp:effectExtent l="0" t="0" r="0" b="0"/>
              <wp:wrapNone/>
              <wp:docPr id="7281105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7462F" w14:textId="77777777" w:rsidR="004842D3" w:rsidRPr="003F39DC" w:rsidRDefault="002327D3">
                          <w:pPr>
                            <w:spacing w:line="245" w:lineRule="exact"/>
                            <w:ind w:left="60"/>
                            <w:rPr>
                              <w:rFonts w:ascii="Calibri"/>
                            </w:rPr>
                          </w:pPr>
                          <w:r w:rsidRPr="003F39DC">
                            <w:fldChar w:fldCharType="begin"/>
                          </w:r>
                          <w:r w:rsidRPr="003F39DC">
                            <w:rPr>
                              <w:rFonts w:ascii="Calibri"/>
                            </w:rPr>
                            <w:instrText xml:space="preserve"> PAGE </w:instrText>
                          </w:r>
                          <w:r w:rsidRPr="003F39DC">
                            <w:fldChar w:fldCharType="separate"/>
                          </w:r>
                          <w:r w:rsidR="00CF27CC" w:rsidRPr="003F39DC">
                            <w:rPr>
                              <w:rFonts w:ascii="Calibri"/>
                            </w:rPr>
                            <w:t>4</w:t>
                          </w:r>
                          <w:r w:rsidRPr="003F39D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669D" id="_x0000_t202" coordsize="21600,21600" o:spt="202" path="m,l,21600r21600,l21600,xe">
              <v:stroke joinstyle="miter"/>
              <v:path gradientshapeok="t" o:connecttype="rect"/>
            </v:shapetype>
            <v:shape id="Text Box 1" o:spid="_x0000_s1026" type="#_x0000_t202" style="position:absolute;margin-left:561.1pt;margin-top:730.2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" filled="f" stroked="f">
              <v:textbox inset="0,0,0,0">
                <w:txbxContent>
                  <w:p w14:paraId="7757462F" w14:textId="77777777" w:rsidR="004842D3" w:rsidRPr="003F39DC" w:rsidRDefault="002327D3">
                    <w:pPr>
                      <w:spacing w:line="245" w:lineRule="exact"/>
                      <w:ind w:left="60"/>
                      <w:rPr>
                        <w:rFonts w:ascii="Calibri"/>
                      </w:rPr>
                    </w:pPr>
                    <w:r w:rsidRPr="003F39DC">
                      <w:fldChar w:fldCharType="begin"/>
                    </w:r>
                    <w:r w:rsidRPr="003F39DC">
                      <w:rPr>
                        <w:rFonts w:ascii="Calibri"/>
                      </w:rPr>
                      <w:instrText xml:space="preserve"> PAGE </w:instrText>
                    </w:r>
                    <w:r w:rsidRPr="003F39DC">
                      <w:fldChar w:fldCharType="separate"/>
                    </w:r>
                    <w:r w:rsidR="00CF27CC" w:rsidRPr="003F39DC">
                      <w:rPr>
                        <w:rFonts w:ascii="Calibri"/>
                      </w:rPr>
                      <w:t>4</w:t>
                    </w:r>
                    <w:r w:rsidRPr="003F39DC">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CB2F" w14:textId="77777777" w:rsidR="000C1066" w:rsidRPr="003F39DC" w:rsidRDefault="000C1066">
      <w:r w:rsidRPr="003F39DC">
        <w:separator/>
      </w:r>
    </w:p>
  </w:footnote>
  <w:footnote w:type="continuationSeparator" w:id="0">
    <w:p w14:paraId="6BC390E2" w14:textId="77777777" w:rsidR="000C1066" w:rsidRPr="003F39DC" w:rsidRDefault="000C1066">
      <w:r w:rsidRPr="003F39DC">
        <w:continuationSeparator/>
      </w:r>
    </w:p>
  </w:footnote>
  <w:footnote w:id="1">
    <w:p w14:paraId="4B10E795" w14:textId="77777777" w:rsidR="00D5553C" w:rsidRPr="008F61F1" w:rsidRDefault="00D5553C" w:rsidP="00D5553C">
      <w:pPr>
        <w:pStyle w:val="FootnoteText"/>
        <w:rPr>
          <w:lang w:val="ro-MD"/>
        </w:rPr>
      </w:pPr>
      <w:r>
        <w:rPr>
          <w:rStyle w:val="FootnoteReference"/>
        </w:rPr>
        <w:footnoteRef/>
      </w:r>
      <w:r>
        <w:t xml:space="preserve"> </w:t>
      </w:r>
      <w:r w:rsidRPr="008C3E27">
        <w:t>https://cned.gov.md/ro/content/mecanismul-de-facturare-neta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4F9"/>
    <w:multiLevelType w:val="hybridMultilevel"/>
    <w:tmpl w:val="5586726C"/>
    <w:lvl w:ilvl="0" w:tplc="2B98B63A">
      <w:numFmt w:val="bullet"/>
      <w:lvlText w:val=""/>
      <w:lvlJc w:val="left"/>
      <w:pPr>
        <w:ind w:left="1046" w:hanging="358"/>
      </w:pPr>
      <w:rPr>
        <w:rFonts w:ascii="Symbol" w:eastAsia="Symbol" w:hAnsi="Symbol" w:cs="Symbol" w:hint="default"/>
        <w:w w:val="100"/>
        <w:sz w:val="24"/>
        <w:szCs w:val="24"/>
        <w:lang w:val="ro-RO" w:eastAsia="en-US" w:bidi="ar-SA"/>
      </w:rPr>
    </w:lvl>
    <w:lvl w:ilvl="1" w:tplc="81EE296A">
      <w:start w:val="1"/>
      <w:numFmt w:val="decimal"/>
      <w:lvlText w:val="%2."/>
      <w:lvlJc w:val="left"/>
      <w:pPr>
        <w:ind w:left="1895" w:hanging="358"/>
      </w:pPr>
      <w:rPr>
        <w:rFonts w:ascii="Times New Roman" w:eastAsia="Times New Roman" w:hAnsi="Times New Roman" w:cs="Times New Roman" w:hint="default"/>
        <w:w w:val="100"/>
        <w:sz w:val="24"/>
        <w:szCs w:val="24"/>
        <w:lang w:val="ro-RO" w:eastAsia="en-US" w:bidi="ar-SA"/>
      </w:rPr>
    </w:lvl>
    <w:lvl w:ilvl="2" w:tplc="1BB8B080">
      <w:numFmt w:val="bullet"/>
      <w:lvlText w:val="•"/>
      <w:lvlJc w:val="left"/>
      <w:pPr>
        <w:ind w:left="2787" w:hanging="358"/>
      </w:pPr>
      <w:rPr>
        <w:rFonts w:hint="default"/>
        <w:lang w:val="ro-RO" w:eastAsia="en-US" w:bidi="ar-SA"/>
      </w:rPr>
    </w:lvl>
    <w:lvl w:ilvl="3" w:tplc="C3CCDD34">
      <w:numFmt w:val="bullet"/>
      <w:lvlText w:val="•"/>
      <w:lvlJc w:val="left"/>
      <w:pPr>
        <w:ind w:left="3674" w:hanging="358"/>
      </w:pPr>
      <w:rPr>
        <w:rFonts w:hint="default"/>
        <w:lang w:val="ro-RO" w:eastAsia="en-US" w:bidi="ar-SA"/>
      </w:rPr>
    </w:lvl>
    <w:lvl w:ilvl="4" w:tplc="AA087250">
      <w:numFmt w:val="bullet"/>
      <w:lvlText w:val="•"/>
      <w:lvlJc w:val="left"/>
      <w:pPr>
        <w:ind w:left="4562" w:hanging="358"/>
      </w:pPr>
      <w:rPr>
        <w:rFonts w:hint="default"/>
        <w:lang w:val="ro-RO" w:eastAsia="en-US" w:bidi="ar-SA"/>
      </w:rPr>
    </w:lvl>
    <w:lvl w:ilvl="5" w:tplc="FB0218D2">
      <w:numFmt w:val="bullet"/>
      <w:lvlText w:val="•"/>
      <w:lvlJc w:val="left"/>
      <w:pPr>
        <w:ind w:left="5449" w:hanging="358"/>
      </w:pPr>
      <w:rPr>
        <w:rFonts w:hint="default"/>
        <w:lang w:val="ro-RO" w:eastAsia="en-US" w:bidi="ar-SA"/>
      </w:rPr>
    </w:lvl>
    <w:lvl w:ilvl="6" w:tplc="7ABC097E">
      <w:numFmt w:val="bullet"/>
      <w:lvlText w:val="•"/>
      <w:lvlJc w:val="left"/>
      <w:pPr>
        <w:ind w:left="6337" w:hanging="358"/>
      </w:pPr>
      <w:rPr>
        <w:rFonts w:hint="default"/>
        <w:lang w:val="ro-RO" w:eastAsia="en-US" w:bidi="ar-SA"/>
      </w:rPr>
    </w:lvl>
    <w:lvl w:ilvl="7" w:tplc="7FEAC2FC">
      <w:numFmt w:val="bullet"/>
      <w:lvlText w:val="•"/>
      <w:lvlJc w:val="left"/>
      <w:pPr>
        <w:ind w:left="7224" w:hanging="358"/>
      </w:pPr>
      <w:rPr>
        <w:rFonts w:hint="default"/>
        <w:lang w:val="ro-RO" w:eastAsia="en-US" w:bidi="ar-SA"/>
      </w:rPr>
    </w:lvl>
    <w:lvl w:ilvl="8" w:tplc="E898C688">
      <w:numFmt w:val="bullet"/>
      <w:lvlText w:val="•"/>
      <w:lvlJc w:val="left"/>
      <w:pPr>
        <w:ind w:left="8112" w:hanging="358"/>
      </w:pPr>
      <w:rPr>
        <w:rFonts w:hint="default"/>
        <w:lang w:val="ro-RO" w:eastAsia="en-US" w:bidi="ar-SA"/>
      </w:rPr>
    </w:lvl>
  </w:abstractNum>
  <w:abstractNum w:abstractNumId="1" w15:restartNumberingAfterBreak="0">
    <w:nsid w:val="1B7212B1"/>
    <w:multiLevelType w:val="hybridMultilevel"/>
    <w:tmpl w:val="6CE64114"/>
    <w:lvl w:ilvl="0" w:tplc="FFE49004">
      <w:numFmt w:val="bullet"/>
      <w:lvlText w:val=""/>
      <w:lvlJc w:val="left"/>
      <w:pPr>
        <w:ind w:left="503" w:hanging="360"/>
      </w:pPr>
      <w:rPr>
        <w:rFonts w:ascii="Symbol" w:eastAsia="Symbol" w:hAnsi="Symbol" w:cs="Symbol" w:hint="default"/>
        <w:w w:val="100"/>
        <w:sz w:val="24"/>
        <w:szCs w:val="24"/>
        <w:lang w:val="ro-RO" w:eastAsia="en-US" w:bidi="ar-SA"/>
      </w:rPr>
    </w:lvl>
    <w:lvl w:ilvl="1" w:tplc="861A31CC">
      <w:numFmt w:val="bullet"/>
      <w:lvlText w:val="•"/>
      <w:lvlJc w:val="left"/>
      <w:pPr>
        <w:ind w:left="1438" w:hanging="360"/>
      </w:pPr>
      <w:rPr>
        <w:rFonts w:hint="default"/>
        <w:lang w:val="ro-RO" w:eastAsia="en-US" w:bidi="ar-SA"/>
      </w:rPr>
    </w:lvl>
    <w:lvl w:ilvl="2" w:tplc="D6A8744C">
      <w:numFmt w:val="bullet"/>
      <w:lvlText w:val="•"/>
      <w:lvlJc w:val="left"/>
      <w:pPr>
        <w:ind w:left="2377" w:hanging="360"/>
      </w:pPr>
      <w:rPr>
        <w:rFonts w:hint="default"/>
        <w:lang w:val="ro-RO" w:eastAsia="en-US" w:bidi="ar-SA"/>
      </w:rPr>
    </w:lvl>
    <w:lvl w:ilvl="3" w:tplc="FD52CF6E">
      <w:numFmt w:val="bullet"/>
      <w:lvlText w:val="•"/>
      <w:lvlJc w:val="left"/>
      <w:pPr>
        <w:ind w:left="3316" w:hanging="360"/>
      </w:pPr>
      <w:rPr>
        <w:rFonts w:hint="default"/>
        <w:lang w:val="ro-RO" w:eastAsia="en-US" w:bidi="ar-SA"/>
      </w:rPr>
    </w:lvl>
    <w:lvl w:ilvl="4" w:tplc="6B7CF8DA">
      <w:numFmt w:val="bullet"/>
      <w:lvlText w:val="•"/>
      <w:lvlJc w:val="left"/>
      <w:pPr>
        <w:ind w:left="4254" w:hanging="360"/>
      </w:pPr>
      <w:rPr>
        <w:rFonts w:hint="default"/>
        <w:lang w:val="ro-RO" w:eastAsia="en-US" w:bidi="ar-SA"/>
      </w:rPr>
    </w:lvl>
    <w:lvl w:ilvl="5" w:tplc="62282ADA">
      <w:numFmt w:val="bullet"/>
      <w:lvlText w:val="•"/>
      <w:lvlJc w:val="left"/>
      <w:pPr>
        <w:ind w:left="5193" w:hanging="360"/>
      </w:pPr>
      <w:rPr>
        <w:rFonts w:hint="default"/>
        <w:lang w:val="ro-RO" w:eastAsia="en-US" w:bidi="ar-SA"/>
      </w:rPr>
    </w:lvl>
    <w:lvl w:ilvl="6" w:tplc="6E701CF8">
      <w:numFmt w:val="bullet"/>
      <w:lvlText w:val="•"/>
      <w:lvlJc w:val="left"/>
      <w:pPr>
        <w:ind w:left="6132" w:hanging="360"/>
      </w:pPr>
      <w:rPr>
        <w:rFonts w:hint="default"/>
        <w:lang w:val="ro-RO" w:eastAsia="en-US" w:bidi="ar-SA"/>
      </w:rPr>
    </w:lvl>
    <w:lvl w:ilvl="7" w:tplc="D5EA0124">
      <w:numFmt w:val="bullet"/>
      <w:lvlText w:val="•"/>
      <w:lvlJc w:val="left"/>
      <w:pPr>
        <w:ind w:left="7070" w:hanging="360"/>
      </w:pPr>
      <w:rPr>
        <w:rFonts w:hint="default"/>
        <w:lang w:val="ro-RO" w:eastAsia="en-US" w:bidi="ar-SA"/>
      </w:rPr>
    </w:lvl>
    <w:lvl w:ilvl="8" w:tplc="3132B232">
      <w:numFmt w:val="bullet"/>
      <w:lvlText w:val="•"/>
      <w:lvlJc w:val="left"/>
      <w:pPr>
        <w:ind w:left="8009" w:hanging="360"/>
      </w:pPr>
      <w:rPr>
        <w:rFonts w:hint="default"/>
        <w:lang w:val="ro-RO" w:eastAsia="en-US" w:bidi="ar-SA"/>
      </w:rPr>
    </w:lvl>
  </w:abstractNum>
  <w:abstractNum w:abstractNumId="2" w15:restartNumberingAfterBreak="0">
    <w:nsid w:val="1ED17DC4"/>
    <w:multiLevelType w:val="multilevel"/>
    <w:tmpl w:val="58BA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26F88"/>
    <w:multiLevelType w:val="multilevel"/>
    <w:tmpl w:val="4766A408"/>
    <w:lvl w:ilvl="0">
      <w:start w:val="1"/>
      <w:numFmt w:val="decimal"/>
      <w:lvlText w:val="%1."/>
      <w:lvlJc w:val="left"/>
      <w:pPr>
        <w:ind w:left="360" w:hanging="360"/>
      </w:pPr>
      <w:rPr>
        <w:rFonts w:hint="default"/>
      </w:rPr>
    </w:lvl>
    <w:lvl w:ilvl="1">
      <w:start w:val="1"/>
      <w:numFmt w:val="decimal"/>
      <w:lvlText w:val="%1.%2."/>
      <w:lvlJc w:val="left"/>
      <w:pPr>
        <w:ind w:left="754"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F64319"/>
    <w:multiLevelType w:val="multilevel"/>
    <w:tmpl w:val="D30C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173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DA0279"/>
    <w:multiLevelType w:val="hybridMultilevel"/>
    <w:tmpl w:val="2FB4960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 w15:restartNumberingAfterBreak="0">
    <w:nsid w:val="70D26C98"/>
    <w:multiLevelType w:val="hybridMultilevel"/>
    <w:tmpl w:val="B6DCBF10"/>
    <w:lvl w:ilvl="0" w:tplc="5492E08E">
      <w:numFmt w:val="bullet"/>
      <w:lvlText w:val=""/>
      <w:lvlJc w:val="left"/>
      <w:pPr>
        <w:ind w:left="1046" w:hanging="358"/>
      </w:pPr>
      <w:rPr>
        <w:rFonts w:ascii="Symbol" w:eastAsia="Symbol" w:hAnsi="Symbol" w:cs="Symbol" w:hint="default"/>
        <w:w w:val="100"/>
        <w:sz w:val="24"/>
        <w:szCs w:val="24"/>
        <w:lang w:val="ro-RO" w:eastAsia="en-US" w:bidi="ar-SA"/>
      </w:rPr>
    </w:lvl>
    <w:lvl w:ilvl="1" w:tplc="464C5796">
      <w:numFmt w:val="bullet"/>
      <w:lvlText w:val="•"/>
      <w:lvlJc w:val="left"/>
      <w:pPr>
        <w:ind w:left="1924" w:hanging="358"/>
      </w:pPr>
      <w:rPr>
        <w:rFonts w:hint="default"/>
        <w:lang w:val="ro-RO" w:eastAsia="en-US" w:bidi="ar-SA"/>
      </w:rPr>
    </w:lvl>
    <w:lvl w:ilvl="2" w:tplc="7AAC9996">
      <w:numFmt w:val="bullet"/>
      <w:lvlText w:val="•"/>
      <w:lvlJc w:val="left"/>
      <w:pPr>
        <w:ind w:left="2809" w:hanging="358"/>
      </w:pPr>
      <w:rPr>
        <w:rFonts w:hint="default"/>
        <w:lang w:val="ro-RO" w:eastAsia="en-US" w:bidi="ar-SA"/>
      </w:rPr>
    </w:lvl>
    <w:lvl w:ilvl="3" w:tplc="7B84DAAE">
      <w:numFmt w:val="bullet"/>
      <w:lvlText w:val="•"/>
      <w:lvlJc w:val="left"/>
      <w:pPr>
        <w:ind w:left="3694" w:hanging="358"/>
      </w:pPr>
      <w:rPr>
        <w:rFonts w:hint="default"/>
        <w:lang w:val="ro-RO" w:eastAsia="en-US" w:bidi="ar-SA"/>
      </w:rPr>
    </w:lvl>
    <w:lvl w:ilvl="4" w:tplc="D2E65DAC">
      <w:numFmt w:val="bullet"/>
      <w:lvlText w:val="•"/>
      <w:lvlJc w:val="left"/>
      <w:pPr>
        <w:ind w:left="4578" w:hanging="358"/>
      </w:pPr>
      <w:rPr>
        <w:rFonts w:hint="default"/>
        <w:lang w:val="ro-RO" w:eastAsia="en-US" w:bidi="ar-SA"/>
      </w:rPr>
    </w:lvl>
    <w:lvl w:ilvl="5" w:tplc="2A16DB80">
      <w:numFmt w:val="bullet"/>
      <w:lvlText w:val="•"/>
      <w:lvlJc w:val="left"/>
      <w:pPr>
        <w:ind w:left="5463" w:hanging="358"/>
      </w:pPr>
      <w:rPr>
        <w:rFonts w:hint="default"/>
        <w:lang w:val="ro-RO" w:eastAsia="en-US" w:bidi="ar-SA"/>
      </w:rPr>
    </w:lvl>
    <w:lvl w:ilvl="6" w:tplc="67406C76">
      <w:numFmt w:val="bullet"/>
      <w:lvlText w:val="•"/>
      <w:lvlJc w:val="left"/>
      <w:pPr>
        <w:ind w:left="6348" w:hanging="358"/>
      </w:pPr>
      <w:rPr>
        <w:rFonts w:hint="default"/>
        <w:lang w:val="ro-RO" w:eastAsia="en-US" w:bidi="ar-SA"/>
      </w:rPr>
    </w:lvl>
    <w:lvl w:ilvl="7" w:tplc="668A4B26">
      <w:numFmt w:val="bullet"/>
      <w:lvlText w:val="•"/>
      <w:lvlJc w:val="left"/>
      <w:pPr>
        <w:ind w:left="7232" w:hanging="358"/>
      </w:pPr>
      <w:rPr>
        <w:rFonts w:hint="default"/>
        <w:lang w:val="ro-RO" w:eastAsia="en-US" w:bidi="ar-SA"/>
      </w:rPr>
    </w:lvl>
    <w:lvl w:ilvl="8" w:tplc="60646072">
      <w:numFmt w:val="bullet"/>
      <w:lvlText w:val="•"/>
      <w:lvlJc w:val="left"/>
      <w:pPr>
        <w:ind w:left="8117" w:hanging="358"/>
      </w:pPr>
      <w:rPr>
        <w:rFonts w:hint="default"/>
        <w:lang w:val="ro-RO" w:eastAsia="en-US" w:bidi="ar-SA"/>
      </w:rPr>
    </w:lvl>
  </w:abstractNum>
  <w:abstractNum w:abstractNumId="8" w15:restartNumberingAfterBreak="0">
    <w:nsid w:val="79324C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5178985">
    <w:abstractNumId w:val="1"/>
  </w:num>
  <w:num w:numId="2" w16cid:durableId="541020335">
    <w:abstractNumId w:val="7"/>
  </w:num>
  <w:num w:numId="3" w16cid:durableId="1010378844">
    <w:abstractNumId w:val="0"/>
  </w:num>
  <w:num w:numId="4" w16cid:durableId="2045981703">
    <w:abstractNumId w:val="3"/>
  </w:num>
  <w:num w:numId="5" w16cid:durableId="1001853851">
    <w:abstractNumId w:val="5"/>
  </w:num>
  <w:num w:numId="6" w16cid:durableId="2108503577">
    <w:abstractNumId w:val="4"/>
  </w:num>
  <w:num w:numId="7" w16cid:durableId="437144807">
    <w:abstractNumId w:val="2"/>
  </w:num>
  <w:num w:numId="8" w16cid:durableId="468864037">
    <w:abstractNumId w:val="8"/>
  </w:num>
  <w:num w:numId="9" w16cid:durableId="460995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D3"/>
    <w:rsid w:val="00001580"/>
    <w:rsid w:val="00006F3B"/>
    <w:rsid w:val="000141C3"/>
    <w:rsid w:val="0001667A"/>
    <w:rsid w:val="00023624"/>
    <w:rsid w:val="0002580E"/>
    <w:rsid w:val="000357E9"/>
    <w:rsid w:val="000478D2"/>
    <w:rsid w:val="00052522"/>
    <w:rsid w:val="00054D6B"/>
    <w:rsid w:val="00061696"/>
    <w:rsid w:val="000700D7"/>
    <w:rsid w:val="000803BF"/>
    <w:rsid w:val="00082DA7"/>
    <w:rsid w:val="00085280"/>
    <w:rsid w:val="00090B47"/>
    <w:rsid w:val="000964F4"/>
    <w:rsid w:val="00097FBC"/>
    <w:rsid w:val="000A0E9D"/>
    <w:rsid w:val="000A3638"/>
    <w:rsid w:val="000A77FA"/>
    <w:rsid w:val="000A78D5"/>
    <w:rsid w:val="000C1066"/>
    <w:rsid w:val="000C5401"/>
    <w:rsid w:val="000F0EA3"/>
    <w:rsid w:val="00105E1A"/>
    <w:rsid w:val="00113517"/>
    <w:rsid w:val="001378CD"/>
    <w:rsid w:val="0016278F"/>
    <w:rsid w:val="001629FC"/>
    <w:rsid w:val="001634C1"/>
    <w:rsid w:val="00163829"/>
    <w:rsid w:val="00165E33"/>
    <w:rsid w:val="00171F09"/>
    <w:rsid w:val="00185E00"/>
    <w:rsid w:val="001A2182"/>
    <w:rsid w:val="001A4669"/>
    <w:rsid w:val="001A50D3"/>
    <w:rsid w:val="001B3F2D"/>
    <w:rsid w:val="001B7DD8"/>
    <w:rsid w:val="001C1BD0"/>
    <w:rsid w:val="0020546E"/>
    <w:rsid w:val="00207895"/>
    <w:rsid w:val="0022225E"/>
    <w:rsid w:val="002327D3"/>
    <w:rsid w:val="002440E4"/>
    <w:rsid w:val="00245B24"/>
    <w:rsid w:val="00247458"/>
    <w:rsid w:val="00274737"/>
    <w:rsid w:val="00285E47"/>
    <w:rsid w:val="002869E7"/>
    <w:rsid w:val="002A1CFC"/>
    <w:rsid w:val="002A656D"/>
    <w:rsid w:val="002B583E"/>
    <w:rsid w:val="002D0827"/>
    <w:rsid w:val="002D51BD"/>
    <w:rsid w:val="002E587A"/>
    <w:rsid w:val="002E6174"/>
    <w:rsid w:val="0030205E"/>
    <w:rsid w:val="00302142"/>
    <w:rsid w:val="00302872"/>
    <w:rsid w:val="00307216"/>
    <w:rsid w:val="0031605E"/>
    <w:rsid w:val="00325923"/>
    <w:rsid w:val="00330396"/>
    <w:rsid w:val="00341FB0"/>
    <w:rsid w:val="0034588F"/>
    <w:rsid w:val="00350DB2"/>
    <w:rsid w:val="003601A2"/>
    <w:rsid w:val="00371616"/>
    <w:rsid w:val="00372CF9"/>
    <w:rsid w:val="00377D4C"/>
    <w:rsid w:val="00380658"/>
    <w:rsid w:val="0038472E"/>
    <w:rsid w:val="003A25C7"/>
    <w:rsid w:val="003A5AD0"/>
    <w:rsid w:val="003A7A3B"/>
    <w:rsid w:val="003B7475"/>
    <w:rsid w:val="003C1CB4"/>
    <w:rsid w:val="003C7D40"/>
    <w:rsid w:val="003D353C"/>
    <w:rsid w:val="003E0601"/>
    <w:rsid w:val="003E1B46"/>
    <w:rsid w:val="003E4050"/>
    <w:rsid w:val="003F2833"/>
    <w:rsid w:val="003F39DC"/>
    <w:rsid w:val="003F7F4D"/>
    <w:rsid w:val="00400952"/>
    <w:rsid w:val="00412B89"/>
    <w:rsid w:val="00414715"/>
    <w:rsid w:val="004206D1"/>
    <w:rsid w:val="00434D56"/>
    <w:rsid w:val="0043610B"/>
    <w:rsid w:val="00444C84"/>
    <w:rsid w:val="00464014"/>
    <w:rsid w:val="004705D4"/>
    <w:rsid w:val="004739BF"/>
    <w:rsid w:val="00482AA2"/>
    <w:rsid w:val="004842D3"/>
    <w:rsid w:val="00490630"/>
    <w:rsid w:val="004A05B4"/>
    <w:rsid w:val="004A4549"/>
    <w:rsid w:val="004A6AB6"/>
    <w:rsid w:val="004B6E6B"/>
    <w:rsid w:val="004D1004"/>
    <w:rsid w:val="004D2480"/>
    <w:rsid w:val="004D2BE7"/>
    <w:rsid w:val="004E35F1"/>
    <w:rsid w:val="004E55BD"/>
    <w:rsid w:val="004E65EF"/>
    <w:rsid w:val="00503815"/>
    <w:rsid w:val="00503D55"/>
    <w:rsid w:val="00513516"/>
    <w:rsid w:val="00513BCA"/>
    <w:rsid w:val="00515229"/>
    <w:rsid w:val="00516BDF"/>
    <w:rsid w:val="00543329"/>
    <w:rsid w:val="005451BD"/>
    <w:rsid w:val="00545965"/>
    <w:rsid w:val="005471ED"/>
    <w:rsid w:val="00550F9C"/>
    <w:rsid w:val="005658AB"/>
    <w:rsid w:val="00575849"/>
    <w:rsid w:val="00580BB3"/>
    <w:rsid w:val="00587A0F"/>
    <w:rsid w:val="005A4D37"/>
    <w:rsid w:val="005C55D5"/>
    <w:rsid w:val="005D034D"/>
    <w:rsid w:val="005D0A75"/>
    <w:rsid w:val="005D0E82"/>
    <w:rsid w:val="005E54CF"/>
    <w:rsid w:val="005E5A18"/>
    <w:rsid w:val="00604259"/>
    <w:rsid w:val="00606974"/>
    <w:rsid w:val="00623BB4"/>
    <w:rsid w:val="00655600"/>
    <w:rsid w:val="00664DBB"/>
    <w:rsid w:val="00671708"/>
    <w:rsid w:val="00675FDB"/>
    <w:rsid w:val="00677D57"/>
    <w:rsid w:val="0068575A"/>
    <w:rsid w:val="006957F8"/>
    <w:rsid w:val="006B1575"/>
    <w:rsid w:val="006B6852"/>
    <w:rsid w:val="006D47B0"/>
    <w:rsid w:val="006E09E3"/>
    <w:rsid w:val="006E1358"/>
    <w:rsid w:val="00703E15"/>
    <w:rsid w:val="00704131"/>
    <w:rsid w:val="00710A3D"/>
    <w:rsid w:val="00711C8E"/>
    <w:rsid w:val="00722100"/>
    <w:rsid w:val="00725827"/>
    <w:rsid w:val="00737675"/>
    <w:rsid w:val="0074314A"/>
    <w:rsid w:val="00776979"/>
    <w:rsid w:val="007811C5"/>
    <w:rsid w:val="0078157E"/>
    <w:rsid w:val="00784A35"/>
    <w:rsid w:val="00785248"/>
    <w:rsid w:val="00794B32"/>
    <w:rsid w:val="007A250A"/>
    <w:rsid w:val="007A6923"/>
    <w:rsid w:val="007B2503"/>
    <w:rsid w:val="007B3827"/>
    <w:rsid w:val="007B38E2"/>
    <w:rsid w:val="007E0379"/>
    <w:rsid w:val="007E22B7"/>
    <w:rsid w:val="007F51BE"/>
    <w:rsid w:val="0080007B"/>
    <w:rsid w:val="00813026"/>
    <w:rsid w:val="008219D4"/>
    <w:rsid w:val="008229B9"/>
    <w:rsid w:val="00822A85"/>
    <w:rsid w:val="00824713"/>
    <w:rsid w:val="00851C82"/>
    <w:rsid w:val="00885D25"/>
    <w:rsid w:val="00893606"/>
    <w:rsid w:val="00896702"/>
    <w:rsid w:val="008A5C43"/>
    <w:rsid w:val="008A625E"/>
    <w:rsid w:val="008B54C7"/>
    <w:rsid w:val="008B5C19"/>
    <w:rsid w:val="008C3E27"/>
    <w:rsid w:val="008C3EB3"/>
    <w:rsid w:val="008D4D73"/>
    <w:rsid w:val="008D7DEF"/>
    <w:rsid w:val="008E3C4F"/>
    <w:rsid w:val="00907256"/>
    <w:rsid w:val="009073C0"/>
    <w:rsid w:val="00911228"/>
    <w:rsid w:val="0092491B"/>
    <w:rsid w:val="00932686"/>
    <w:rsid w:val="00933D84"/>
    <w:rsid w:val="0094658B"/>
    <w:rsid w:val="00946C36"/>
    <w:rsid w:val="00947D7D"/>
    <w:rsid w:val="00954369"/>
    <w:rsid w:val="00960CB9"/>
    <w:rsid w:val="00964345"/>
    <w:rsid w:val="009706EC"/>
    <w:rsid w:val="0097279B"/>
    <w:rsid w:val="00972CCF"/>
    <w:rsid w:val="00982B69"/>
    <w:rsid w:val="0098786F"/>
    <w:rsid w:val="0099480B"/>
    <w:rsid w:val="00994DEC"/>
    <w:rsid w:val="00995EA8"/>
    <w:rsid w:val="00996BD2"/>
    <w:rsid w:val="009A2590"/>
    <w:rsid w:val="009B0CCE"/>
    <w:rsid w:val="009D384C"/>
    <w:rsid w:val="009E00EF"/>
    <w:rsid w:val="009E0360"/>
    <w:rsid w:val="009E18B5"/>
    <w:rsid w:val="009E22ED"/>
    <w:rsid w:val="009F2419"/>
    <w:rsid w:val="00A15654"/>
    <w:rsid w:val="00A25839"/>
    <w:rsid w:val="00A3056C"/>
    <w:rsid w:val="00A32E44"/>
    <w:rsid w:val="00A42E10"/>
    <w:rsid w:val="00A47A2F"/>
    <w:rsid w:val="00A623EC"/>
    <w:rsid w:val="00A665AA"/>
    <w:rsid w:val="00A8001B"/>
    <w:rsid w:val="00A927E4"/>
    <w:rsid w:val="00A935DB"/>
    <w:rsid w:val="00A95689"/>
    <w:rsid w:val="00A97557"/>
    <w:rsid w:val="00AC5386"/>
    <w:rsid w:val="00AD3F04"/>
    <w:rsid w:val="00B021FF"/>
    <w:rsid w:val="00B163B4"/>
    <w:rsid w:val="00B27117"/>
    <w:rsid w:val="00B27705"/>
    <w:rsid w:val="00B3243C"/>
    <w:rsid w:val="00B35C55"/>
    <w:rsid w:val="00B47D57"/>
    <w:rsid w:val="00B508A2"/>
    <w:rsid w:val="00B524BA"/>
    <w:rsid w:val="00B62EB2"/>
    <w:rsid w:val="00B8097B"/>
    <w:rsid w:val="00B94B1C"/>
    <w:rsid w:val="00BA0DCE"/>
    <w:rsid w:val="00BB20D5"/>
    <w:rsid w:val="00BC6EB9"/>
    <w:rsid w:val="00BD7F4C"/>
    <w:rsid w:val="00BE07CC"/>
    <w:rsid w:val="00BE0B54"/>
    <w:rsid w:val="00BE0B79"/>
    <w:rsid w:val="00BE5DD1"/>
    <w:rsid w:val="00BE6AE2"/>
    <w:rsid w:val="00BF2344"/>
    <w:rsid w:val="00C016A2"/>
    <w:rsid w:val="00C05E82"/>
    <w:rsid w:val="00C15AF0"/>
    <w:rsid w:val="00C17FAB"/>
    <w:rsid w:val="00C224FB"/>
    <w:rsid w:val="00C23E19"/>
    <w:rsid w:val="00C269C2"/>
    <w:rsid w:val="00C27AA0"/>
    <w:rsid w:val="00C52885"/>
    <w:rsid w:val="00C52A06"/>
    <w:rsid w:val="00C77882"/>
    <w:rsid w:val="00C93865"/>
    <w:rsid w:val="00CA0881"/>
    <w:rsid w:val="00CA1C80"/>
    <w:rsid w:val="00CB07C6"/>
    <w:rsid w:val="00CC551B"/>
    <w:rsid w:val="00CC6066"/>
    <w:rsid w:val="00CD0016"/>
    <w:rsid w:val="00CD341E"/>
    <w:rsid w:val="00CD54D6"/>
    <w:rsid w:val="00CE2321"/>
    <w:rsid w:val="00CE4CBC"/>
    <w:rsid w:val="00CF27CC"/>
    <w:rsid w:val="00CF5DAC"/>
    <w:rsid w:val="00D2780E"/>
    <w:rsid w:val="00D3185F"/>
    <w:rsid w:val="00D3347E"/>
    <w:rsid w:val="00D40092"/>
    <w:rsid w:val="00D44988"/>
    <w:rsid w:val="00D53AE3"/>
    <w:rsid w:val="00D552D0"/>
    <w:rsid w:val="00D5553C"/>
    <w:rsid w:val="00D754E2"/>
    <w:rsid w:val="00D81977"/>
    <w:rsid w:val="00DA646F"/>
    <w:rsid w:val="00DB4485"/>
    <w:rsid w:val="00DB5007"/>
    <w:rsid w:val="00DC082A"/>
    <w:rsid w:val="00DC5B5D"/>
    <w:rsid w:val="00DD4F4A"/>
    <w:rsid w:val="00DE1206"/>
    <w:rsid w:val="00DF121C"/>
    <w:rsid w:val="00DF33D3"/>
    <w:rsid w:val="00E03147"/>
    <w:rsid w:val="00E22A2B"/>
    <w:rsid w:val="00E22EE0"/>
    <w:rsid w:val="00E30933"/>
    <w:rsid w:val="00E30F7C"/>
    <w:rsid w:val="00E36407"/>
    <w:rsid w:val="00E74E4C"/>
    <w:rsid w:val="00E750C8"/>
    <w:rsid w:val="00E76640"/>
    <w:rsid w:val="00E92631"/>
    <w:rsid w:val="00EC4856"/>
    <w:rsid w:val="00ED57D5"/>
    <w:rsid w:val="00ED59E3"/>
    <w:rsid w:val="00EE70FD"/>
    <w:rsid w:val="00EF0106"/>
    <w:rsid w:val="00EF30E9"/>
    <w:rsid w:val="00EF3EDD"/>
    <w:rsid w:val="00F30EAF"/>
    <w:rsid w:val="00F41965"/>
    <w:rsid w:val="00F62D14"/>
    <w:rsid w:val="00F67102"/>
    <w:rsid w:val="00F8402F"/>
    <w:rsid w:val="00F85D7B"/>
    <w:rsid w:val="00F87F0B"/>
    <w:rsid w:val="00F9333C"/>
    <w:rsid w:val="00FB2703"/>
    <w:rsid w:val="00FB5D7E"/>
    <w:rsid w:val="00FC6C31"/>
    <w:rsid w:val="00FD176A"/>
    <w:rsid w:val="00FF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F8C19"/>
  <w15:docId w15:val="{9131D04A-8F13-47EE-B418-68A52F2F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
      <w:jc w:val="both"/>
    </w:pPr>
  </w:style>
  <w:style w:type="paragraph" w:styleId="BalloonText">
    <w:name w:val="Balloon Text"/>
    <w:basedOn w:val="Normal"/>
    <w:link w:val="BalloonTextChar"/>
    <w:uiPriority w:val="99"/>
    <w:semiHidden/>
    <w:unhideWhenUsed/>
    <w:rsid w:val="007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3D"/>
    <w:rPr>
      <w:rFonts w:ascii="Segoe UI" w:eastAsia="Times New Roman" w:hAnsi="Segoe UI" w:cs="Segoe UI"/>
      <w:sz w:val="18"/>
      <w:szCs w:val="18"/>
      <w:lang w:val="ro-RO"/>
    </w:rPr>
  </w:style>
  <w:style w:type="paragraph" w:styleId="Revision">
    <w:name w:val="Revision"/>
    <w:hidden/>
    <w:uiPriority w:val="99"/>
    <w:semiHidden/>
    <w:rsid w:val="00A15654"/>
    <w:pPr>
      <w:widowControl/>
      <w:autoSpaceDE/>
      <w:autoSpaceDN/>
    </w:pPr>
    <w:rPr>
      <w:rFonts w:ascii="Times New Roman" w:eastAsia="Times New Roman" w:hAnsi="Times New Roman" w:cs="Times New Roman"/>
      <w:noProof/>
      <w:lang w:val="ro-RO"/>
    </w:rPr>
  </w:style>
  <w:style w:type="paragraph" w:styleId="NormalWeb">
    <w:name w:val="Normal (Web)"/>
    <w:basedOn w:val="Normal"/>
    <w:uiPriority w:val="99"/>
    <w:unhideWhenUsed/>
    <w:rsid w:val="00BF2344"/>
    <w:pPr>
      <w:widowControl/>
      <w:autoSpaceDE/>
      <w:autoSpaceDN/>
      <w:spacing w:before="100" w:beforeAutospacing="1" w:after="100" w:afterAutospacing="1"/>
    </w:pPr>
    <w:rPr>
      <w:sz w:val="24"/>
      <w:szCs w:val="24"/>
      <w:lang w:val="en-GB" w:eastAsia="zh-CN"/>
    </w:rPr>
  </w:style>
  <w:style w:type="paragraph" w:styleId="FootnoteText">
    <w:name w:val="footnote text"/>
    <w:basedOn w:val="Normal"/>
    <w:link w:val="FootnoteTextChar"/>
    <w:uiPriority w:val="99"/>
    <w:semiHidden/>
    <w:unhideWhenUsed/>
    <w:rsid w:val="008C3E27"/>
    <w:rPr>
      <w:sz w:val="20"/>
      <w:szCs w:val="20"/>
    </w:rPr>
  </w:style>
  <w:style w:type="character" w:customStyle="1" w:styleId="FootnoteTextChar">
    <w:name w:val="Footnote Text Char"/>
    <w:basedOn w:val="DefaultParagraphFont"/>
    <w:link w:val="FootnoteText"/>
    <w:uiPriority w:val="99"/>
    <w:semiHidden/>
    <w:rsid w:val="008C3E27"/>
    <w:rPr>
      <w:rFonts w:ascii="Times New Roman" w:eastAsia="Times New Roman" w:hAnsi="Times New Roman" w:cs="Times New Roman"/>
      <w:noProof/>
      <w:sz w:val="20"/>
      <w:szCs w:val="20"/>
      <w:lang w:val="ro-RO"/>
    </w:rPr>
  </w:style>
  <w:style w:type="character" w:styleId="FootnoteReference">
    <w:name w:val="footnote reference"/>
    <w:basedOn w:val="DefaultParagraphFont"/>
    <w:uiPriority w:val="99"/>
    <w:semiHidden/>
    <w:unhideWhenUsed/>
    <w:rsid w:val="008C3E27"/>
    <w:rPr>
      <w:vertAlign w:val="superscript"/>
    </w:rPr>
  </w:style>
  <w:style w:type="character" w:styleId="Hyperlink">
    <w:name w:val="Hyperlink"/>
    <w:basedOn w:val="DefaultParagraphFont"/>
    <w:uiPriority w:val="99"/>
    <w:unhideWhenUsed/>
    <w:rsid w:val="0094658B"/>
    <w:rPr>
      <w:color w:val="0000FF" w:themeColor="hyperlink"/>
      <w:u w:val="single"/>
    </w:rPr>
  </w:style>
  <w:style w:type="character" w:styleId="UnresolvedMention">
    <w:name w:val="Unresolved Mention"/>
    <w:basedOn w:val="DefaultParagraphFont"/>
    <w:uiPriority w:val="99"/>
    <w:semiHidden/>
    <w:unhideWhenUsed/>
    <w:rsid w:val="0094658B"/>
    <w:rPr>
      <w:color w:val="605E5C"/>
      <w:shd w:val="clear" w:color="auto" w:fill="E1DFDD"/>
    </w:rPr>
  </w:style>
  <w:style w:type="character" w:styleId="FollowedHyperlink">
    <w:name w:val="FollowedHyperlink"/>
    <w:basedOn w:val="DefaultParagraphFont"/>
    <w:uiPriority w:val="99"/>
    <w:semiHidden/>
    <w:unhideWhenUsed/>
    <w:rsid w:val="00090B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187">
      <w:bodyDiv w:val="1"/>
      <w:marLeft w:val="0"/>
      <w:marRight w:val="0"/>
      <w:marTop w:val="0"/>
      <w:marBottom w:val="0"/>
      <w:divBdr>
        <w:top w:val="none" w:sz="0" w:space="0" w:color="auto"/>
        <w:left w:val="none" w:sz="0" w:space="0" w:color="auto"/>
        <w:bottom w:val="none" w:sz="0" w:space="0" w:color="auto"/>
        <w:right w:val="none" w:sz="0" w:space="0" w:color="auto"/>
      </w:divBdr>
    </w:div>
    <w:div w:id="70785344">
      <w:bodyDiv w:val="1"/>
      <w:marLeft w:val="0"/>
      <w:marRight w:val="0"/>
      <w:marTop w:val="0"/>
      <w:marBottom w:val="0"/>
      <w:divBdr>
        <w:top w:val="none" w:sz="0" w:space="0" w:color="auto"/>
        <w:left w:val="none" w:sz="0" w:space="0" w:color="auto"/>
        <w:bottom w:val="none" w:sz="0" w:space="0" w:color="auto"/>
        <w:right w:val="none" w:sz="0" w:space="0" w:color="auto"/>
      </w:divBdr>
    </w:div>
    <w:div w:id="75055666">
      <w:bodyDiv w:val="1"/>
      <w:marLeft w:val="0"/>
      <w:marRight w:val="0"/>
      <w:marTop w:val="0"/>
      <w:marBottom w:val="0"/>
      <w:divBdr>
        <w:top w:val="none" w:sz="0" w:space="0" w:color="auto"/>
        <w:left w:val="none" w:sz="0" w:space="0" w:color="auto"/>
        <w:bottom w:val="none" w:sz="0" w:space="0" w:color="auto"/>
        <w:right w:val="none" w:sz="0" w:space="0" w:color="auto"/>
      </w:divBdr>
    </w:div>
    <w:div w:id="215704615">
      <w:bodyDiv w:val="1"/>
      <w:marLeft w:val="0"/>
      <w:marRight w:val="0"/>
      <w:marTop w:val="0"/>
      <w:marBottom w:val="0"/>
      <w:divBdr>
        <w:top w:val="none" w:sz="0" w:space="0" w:color="auto"/>
        <w:left w:val="none" w:sz="0" w:space="0" w:color="auto"/>
        <w:bottom w:val="none" w:sz="0" w:space="0" w:color="auto"/>
        <w:right w:val="none" w:sz="0" w:space="0" w:color="auto"/>
      </w:divBdr>
    </w:div>
    <w:div w:id="291056954">
      <w:bodyDiv w:val="1"/>
      <w:marLeft w:val="0"/>
      <w:marRight w:val="0"/>
      <w:marTop w:val="0"/>
      <w:marBottom w:val="0"/>
      <w:divBdr>
        <w:top w:val="none" w:sz="0" w:space="0" w:color="auto"/>
        <w:left w:val="none" w:sz="0" w:space="0" w:color="auto"/>
        <w:bottom w:val="none" w:sz="0" w:space="0" w:color="auto"/>
        <w:right w:val="none" w:sz="0" w:space="0" w:color="auto"/>
      </w:divBdr>
    </w:div>
    <w:div w:id="305353806">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57001786">
      <w:bodyDiv w:val="1"/>
      <w:marLeft w:val="0"/>
      <w:marRight w:val="0"/>
      <w:marTop w:val="0"/>
      <w:marBottom w:val="0"/>
      <w:divBdr>
        <w:top w:val="none" w:sz="0" w:space="0" w:color="auto"/>
        <w:left w:val="none" w:sz="0" w:space="0" w:color="auto"/>
        <w:bottom w:val="none" w:sz="0" w:space="0" w:color="auto"/>
        <w:right w:val="none" w:sz="0" w:space="0" w:color="auto"/>
      </w:divBdr>
    </w:div>
    <w:div w:id="425535771">
      <w:bodyDiv w:val="1"/>
      <w:marLeft w:val="0"/>
      <w:marRight w:val="0"/>
      <w:marTop w:val="0"/>
      <w:marBottom w:val="0"/>
      <w:divBdr>
        <w:top w:val="none" w:sz="0" w:space="0" w:color="auto"/>
        <w:left w:val="none" w:sz="0" w:space="0" w:color="auto"/>
        <w:bottom w:val="none" w:sz="0" w:space="0" w:color="auto"/>
        <w:right w:val="none" w:sz="0" w:space="0" w:color="auto"/>
      </w:divBdr>
    </w:div>
    <w:div w:id="503789284">
      <w:bodyDiv w:val="1"/>
      <w:marLeft w:val="0"/>
      <w:marRight w:val="0"/>
      <w:marTop w:val="0"/>
      <w:marBottom w:val="0"/>
      <w:divBdr>
        <w:top w:val="none" w:sz="0" w:space="0" w:color="auto"/>
        <w:left w:val="none" w:sz="0" w:space="0" w:color="auto"/>
        <w:bottom w:val="none" w:sz="0" w:space="0" w:color="auto"/>
        <w:right w:val="none" w:sz="0" w:space="0" w:color="auto"/>
      </w:divBdr>
    </w:div>
    <w:div w:id="582105017">
      <w:bodyDiv w:val="1"/>
      <w:marLeft w:val="0"/>
      <w:marRight w:val="0"/>
      <w:marTop w:val="0"/>
      <w:marBottom w:val="0"/>
      <w:divBdr>
        <w:top w:val="none" w:sz="0" w:space="0" w:color="auto"/>
        <w:left w:val="none" w:sz="0" w:space="0" w:color="auto"/>
        <w:bottom w:val="none" w:sz="0" w:space="0" w:color="auto"/>
        <w:right w:val="none" w:sz="0" w:space="0" w:color="auto"/>
      </w:divBdr>
    </w:div>
    <w:div w:id="634333501">
      <w:bodyDiv w:val="1"/>
      <w:marLeft w:val="0"/>
      <w:marRight w:val="0"/>
      <w:marTop w:val="0"/>
      <w:marBottom w:val="0"/>
      <w:divBdr>
        <w:top w:val="none" w:sz="0" w:space="0" w:color="auto"/>
        <w:left w:val="none" w:sz="0" w:space="0" w:color="auto"/>
        <w:bottom w:val="none" w:sz="0" w:space="0" w:color="auto"/>
        <w:right w:val="none" w:sz="0" w:space="0" w:color="auto"/>
      </w:divBdr>
    </w:div>
    <w:div w:id="1010178406">
      <w:bodyDiv w:val="1"/>
      <w:marLeft w:val="0"/>
      <w:marRight w:val="0"/>
      <w:marTop w:val="0"/>
      <w:marBottom w:val="0"/>
      <w:divBdr>
        <w:top w:val="none" w:sz="0" w:space="0" w:color="auto"/>
        <w:left w:val="none" w:sz="0" w:space="0" w:color="auto"/>
        <w:bottom w:val="none" w:sz="0" w:space="0" w:color="auto"/>
        <w:right w:val="none" w:sz="0" w:space="0" w:color="auto"/>
      </w:divBdr>
    </w:div>
    <w:div w:id="1171406221">
      <w:bodyDiv w:val="1"/>
      <w:marLeft w:val="0"/>
      <w:marRight w:val="0"/>
      <w:marTop w:val="0"/>
      <w:marBottom w:val="0"/>
      <w:divBdr>
        <w:top w:val="none" w:sz="0" w:space="0" w:color="auto"/>
        <w:left w:val="none" w:sz="0" w:space="0" w:color="auto"/>
        <w:bottom w:val="none" w:sz="0" w:space="0" w:color="auto"/>
        <w:right w:val="none" w:sz="0" w:space="0" w:color="auto"/>
      </w:divBdr>
    </w:div>
    <w:div w:id="1185947770">
      <w:bodyDiv w:val="1"/>
      <w:marLeft w:val="0"/>
      <w:marRight w:val="0"/>
      <w:marTop w:val="0"/>
      <w:marBottom w:val="0"/>
      <w:divBdr>
        <w:top w:val="none" w:sz="0" w:space="0" w:color="auto"/>
        <w:left w:val="none" w:sz="0" w:space="0" w:color="auto"/>
        <w:bottom w:val="none" w:sz="0" w:space="0" w:color="auto"/>
        <w:right w:val="none" w:sz="0" w:space="0" w:color="auto"/>
      </w:divBdr>
    </w:div>
    <w:div w:id="1276594864">
      <w:bodyDiv w:val="1"/>
      <w:marLeft w:val="0"/>
      <w:marRight w:val="0"/>
      <w:marTop w:val="0"/>
      <w:marBottom w:val="0"/>
      <w:divBdr>
        <w:top w:val="none" w:sz="0" w:space="0" w:color="auto"/>
        <w:left w:val="none" w:sz="0" w:space="0" w:color="auto"/>
        <w:bottom w:val="none" w:sz="0" w:space="0" w:color="auto"/>
        <w:right w:val="none" w:sz="0" w:space="0" w:color="auto"/>
      </w:divBdr>
    </w:div>
    <w:div w:id="1296566094">
      <w:bodyDiv w:val="1"/>
      <w:marLeft w:val="0"/>
      <w:marRight w:val="0"/>
      <w:marTop w:val="0"/>
      <w:marBottom w:val="0"/>
      <w:divBdr>
        <w:top w:val="none" w:sz="0" w:space="0" w:color="auto"/>
        <w:left w:val="none" w:sz="0" w:space="0" w:color="auto"/>
        <w:bottom w:val="none" w:sz="0" w:space="0" w:color="auto"/>
        <w:right w:val="none" w:sz="0" w:space="0" w:color="auto"/>
      </w:divBdr>
    </w:div>
    <w:div w:id="1323198203">
      <w:bodyDiv w:val="1"/>
      <w:marLeft w:val="0"/>
      <w:marRight w:val="0"/>
      <w:marTop w:val="0"/>
      <w:marBottom w:val="0"/>
      <w:divBdr>
        <w:top w:val="none" w:sz="0" w:space="0" w:color="auto"/>
        <w:left w:val="none" w:sz="0" w:space="0" w:color="auto"/>
        <w:bottom w:val="none" w:sz="0" w:space="0" w:color="auto"/>
        <w:right w:val="none" w:sz="0" w:space="0" w:color="auto"/>
      </w:divBdr>
    </w:div>
    <w:div w:id="1332440877">
      <w:bodyDiv w:val="1"/>
      <w:marLeft w:val="0"/>
      <w:marRight w:val="0"/>
      <w:marTop w:val="0"/>
      <w:marBottom w:val="0"/>
      <w:divBdr>
        <w:top w:val="none" w:sz="0" w:space="0" w:color="auto"/>
        <w:left w:val="none" w:sz="0" w:space="0" w:color="auto"/>
        <w:bottom w:val="none" w:sz="0" w:space="0" w:color="auto"/>
        <w:right w:val="none" w:sz="0" w:space="0" w:color="auto"/>
      </w:divBdr>
    </w:div>
    <w:div w:id="1609124161">
      <w:bodyDiv w:val="1"/>
      <w:marLeft w:val="0"/>
      <w:marRight w:val="0"/>
      <w:marTop w:val="0"/>
      <w:marBottom w:val="0"/>
      <w:divBdr>
        <w:top w:val="none" w:sz="0" w:space="0" w:color="auto"/>
        <w:left w:val="none" w:sz="0" w:space="0" w:color="auto"/>
        <w:bottom w:val="none" w:sz="0" w:space="0" w:color="auto"/>
        <w:right w:val="none" w:sz="0" w:space="0" w:color="auto"/>
      </w:divBdr>
    </w:div>
    <w:div w:id="1697921466">
      <w:bodyDiv w:val="1"/>
      <w:marLeft w:val="0"/>
      <w:marRight w:val="0"/>
      <w:marTop w:val="0"/>
      <w:marBottom w:val="0"/>
      <w:divBdr>
        <w:top w:val="none" w:sz="0" w:space="0" w:color="auto"/>
        <w:left w:val="none" w:sz="0" w:space="0" w:color="auto"/>
        <w:bottom w:val="none" w:sz="0" w:space="0" w:color="auto"/>
        <w:right w:val="none" w:sz="0" w:space="0" w:color="auto"/>
      </w:divBdr>
    </w:div>
    <w:div w:id="1713842196">
      <w:bodyDiv w:val="1"/>
      <w:marLeft w:val="0"/>
      <w:marRight w:val="0"/>
      <w:marTop w:val="0"/>
      <w:marBottom w:val="0"/>
      <w:divBdr>
        <w:top w:val="none" w:sz="0" w:space="0" w:color="auto"/>
        <w:left w:val="none" w:sz="0" w:space="0" w:color="auto"/>
        <w:bottom w:val="none" w:sz="0" w:space="0" w:color="auto"/>
        <w:right w:val="none" w:sz="0" w:space="0" w:color="auto"/>
      </w:divBdr>
    </w:div>
    <w:div w:id="1757170391">
      <w:bodyDiv w:val="1"/>
      <w:marLeft w:val="0"/>
      <w:marRight w:val="0"/>
      <w:marTop w:val="0"/>
      <w:marBottom w:val="0"/>
      <w:divBdr>
        <w:top w:val="none" w:sz="0" w:space="0" w:color="auto"/>
        <w:left w:val="none" w:sz="0" w:space="0" w:color="auto"/>
        <w:bottom w:val="none" w:sz="0" w:space="0" w:color="auto"/>
        <w:right w:val="none" w:sz="0" w:space="0" w:color="auto"/>
      </w:divBdr>
    </w:div>
    <w:div w:id="1959527118">
      <w:bodyDiv w:val="1"/>
      <w:marLeft w:val="0"/>
      <w:marRight w:val="0"/>
      <w:marTop w:val="0"/>
      <w:marBottom w:val="0"/>
      <w:divBdr>
        <w:top w:val="none" w:sz="0" w:space="0" w:color="auto"/>
        <w:left w:val="none" w:sz="0" w:space="0" w:color="auto"/>
        <w:bottom w:val="none" w:sz="0" w:space="0" w:color="auto"/>
        <w:right w:val="none" w:sz="0" w:space="0" w:color="auto"/>
      </w:divBdr>
    </w:div>
    <w:div w:id="2003504986">
      <w:bodyDiv w:val="1"/>
      <w:marLeft w:val="0"/>
      <w:marRight w:val="0"/>
      <w:marTop w:val="0"/>
      <w:marBottom w:val="0"/>
      <w:divBdr>
        <w:top w:val="none" w:sz="0" w:space="0" w:color="auto"/>
        <w:left w:val="none" w:sz="0" w:space="0" w:color="auto"/>
        <w:bottom w:val="none" w:sz="0" w:space="0" w:color="auto"/>
        <w:right w:val="none" w:sz="0" w:space="0" w:color="auto"/>
      </w:divBdr>
    </w:div>
    <w:div w:id="2003778797">
      <w:bodyDiv w:val="1"/>
      <w:marLeft w:val="0"/>
      <w:marRight w:val="0"/>
      <w:marTop w:val="0"/>
      <w:marBottom w:val="0"/>
      <w:divBdr>
        <w:top w:val="none" w:sz="0" w:space="0" w:color="auto"/>
        <w:left w:val="none" w:sz="0" w:space="0" w:color="auto"/>
        <w:bottom w:val="none" w:sz="0" w:space="0" w:color="auto"/>
        <w:right w:val="none" w:sz="0" w:space="0" w:color="auto"/>
      </w:divBdr>
    </w:div>
    <w:div w:id="2061782295">
      <w:bodyDiv w:val="1"/>
      <w:marLeft w:val="0"/>
      <w:marRight w:val="0"/>
      <w:marTop w:val="0"/>
      <w:marBottom w:val="0"/>
      <w:divBdr>
        <w:top w:val="none" w:sz="0" w:space="0" w:color="auto"/>
        <w:left w:val="none" w:sz="0" w:space="0" w:color="auto"/>
        <w:bottom w:val="none" w:sz="0" w:space="0" w:color="auto"/>
        <w:right w:val="none" w:sz="0" w:space="0" w:color="auto"/>
      </w:divBdr>
    </w:div>
    <w:div w:id="208633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41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dr.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energie.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braga@energie.gov.md" TargetMode="External"/><Relationship Id="rId4" Type="http://schemas.openxmlformats.org/officeDocument/2006/relationships/settings" Target="settings.xml"/><Relationship Id="rId9" Type="http://schemas.openxmlformats.org/officeDocument/2006/relationships/hyperlink" Target="https://particip.gov.md/ro/document/stages/*/143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D434-2A8E-441F-AFD9-3F2C7B48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3608</Words>
  <Characters>20566</Characters>
  <Application>Microsoft Office Word</Application>
  <DocSecurity>0</DocSecurity>
  <Lines>171</Lines>
  <Paragraphs>48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Direcția surse de energie regenerabilă și mobilitate verde</cp:lastModifiedBy>
  <cp:revision>10</cp:revision>
  <cp:lastPrinted>2025-04-08T05:32:00Z</cp:lastPrinted>
  <dcterms:created xsi:type="dcterms:W3CDTF">2025-04-17T07:50:00Z</dcterms:created>
  <dcterms:modified xsi:type="dcterms:W3CDTF">2025-05-05T08:34:00Z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2013</vt:lpwstr>
  </property>
  <property fmtid="{D5CDD505-2E9C-101B-9397-08002B2CF9AE}" pid="4" name="LastSaved">
    <vt:filetime>2023-11-27T00:00:00Z</vt:filetime>
  </property>
</Properties>
</file>