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585BC" w14:textId="15FDB4B4" w:rsidR="002B2F7D" w:rsidRPr="002B2F7D" w:rsidRDefault="002B2F7D" w:rsidP="002B2F7D">
      <w:pPr>
        <w:spacing w:after="0"/>
        <w:jc w:val="center"/>
        <w:rPr>
          <w:rFonts w:ascii="Times New Roman" w:hAnsi="Times New Roman" w:cs="Times New Roman"/>
          <w:b/>
          <w:sz w:val="20"/>
          <w:szCs w:val="20"/>
          <w:lang w:val="ro-MD"/>
        </w:rPr>
      </w:pPr>
      <w:r w:rsidRPr="002B2F7D">
        <w:rPr>
          <w:rFonts w:ascii="Times New Roman" w:hAnsi="Times New Roman" w:cs="Times New Roman"/>
          <w:b/>
          <w:sz w:val="20"/>
          <w:szCs w:val="20"/>
          <w:lang w:val="ro-MD"/>
        </w:rPr>
        <w:t>SINTEZA</w:t>
      </w:r>
    </w:p>
    <w:p w14:paraId="410A203A" w14:textId="0F347CC5" w:rsidR="002B2F7D" w:rsidRPr="002B2F7D" w:rsidRDefault="00480C4A" w:rsidP="002B2F7D">
      <w:pPr>
        <w:spacing w:after="0"/>
        <w:jc w:val="center"/>
        <w:rPr>
          <w:rFonts w:ascii="Times New Roman" w:hAnsi="Times New Roman" w:cs="Times New Roman"/>
          <w:b/>
          <w:sz w:val="20"/>
          <w:szCs w:val="20"/>
          <w:lang w:val="ro-MD"/>
        </w:rPr>
      </w:pPr>
      <w:r w:rsidRPr="002B2F7D">
        <w:rPr>
          <w:rFonts w:ascii="Times New Roman" w:hAnsi="Times New Roman" w:cs="Times New Roman"/>
          <w:b/>
          <w:sz w:val="20"/>
          <w:szCs w:val="20"/>
          <w:lang w:val="ro-MD"/>
        </w:rPr>
        <w:t>obiecțiilor și propunerilor (recomandărilor)</w:t>
      </w:r>
    </w:p>
    <w:p w14:paraId="5ADAF111" w14:textId="0DEB1F08" w:rsidR="00F3660E" w:rsidRPr="002B2F7D" w:rsidRDefault="00480C4A" w:rsidP="002B2F7D">
      <w:pPr>
        <w:spacing w:after="0"/>
        <w:jc w:val="center"/>
        <w:rPr>
          <w:rFonts w:ascii="Times New Roman" w:hAnsi="Times New Roman" w:cs="Times New Roman"/>
          <w:b/>
          <w:sz w:val="20"/>
          <w:szCs w:val="20"/>
          <w:lang w:val="ro-MD"/>
        </w:rPr>
      </w:pPr>
      <w:r w:rsidRPr="002B2F7D">
        <w:rPr>
          <w:rFonts w:ascii="Times New Roman" w:hAnsi="Times New Roman" w:cs="Times New Roman"/>
          <w:b/>
          <w:sz w:val="20"/>
          <w:szCs w:val="20"/>
          <w:lang w:val="ro-MD"/>
        </w:rPr>
        <w:t xml:space="preserve">la proiectul hotărârii Guvernului cu privire la aprobarea </w:t>
      </w:r>
      <w:r w:rsidR="00335E6F" w:rsidRPr="002B2F7D">
        <w:rPr>
          <w:rFonts w:ascii="Times New Roman" w:hAnsi="Times New Roman" w:cs="Times New Roman"/>
          <w:b/>
          <w:sz w:val="20"/>
          <w:szCs w:val="20"/>
          <w:lang w:val="ro-MD"/>
        </w:rPr>
        <w:t xml:space="preserve"> </w:t>
      </w:r>
      <w:r w:rsidRPr="002B2F7D">
        <w:rPr>
          <w:rFonts w:ascii="Times New Roman" w:hAnsi="Times New Roman" w:cs="Times New Roman"/>
          <w:b/>
          <w:sz w:val="20"/>
          <w:szCs w:val="20"/>
          <w:lang w:val="ro-MD"/>
        </w:rPr>
        <w:t>Agendei de Reforme</w:t>
      </w:r>
      <w:r w:rsidR="002B2F7D">
        <w:rPr>
          <w:rFonts w:ascii="Times New Roman" w:hAnsi="Times New Roman" w:cs="Times New Roman"/>
          <w:b/>
          <w:sz w:val="20"/>
          <w:szCs w:val="20"/>
          <w:lang w:val="ro-MD"/>
        </w:rPr>
        <w:t xml:space="preserve"> aferentă Planului de creștere</w:t>
      </w:r>
      <w:bookmarkStart w:id="0" w:name="_GoBack"/>
      <w:bookmarkEnd w:id="0"/>
      <w:r w:rsidRPr="002B2F7D">
        <w:rPr>
          <w:rFonts w:ascii="Times New Roman" w:hAnsi="Times New Roman" w:cs="Times New Roman"/>
          <w:b/>
          <w:sz w:val="20"/>
          <w:szCs w:val="20"/>
          <w:lang w:val="ro-MD"/>
        </w:rPr>
        <w:t xml:space="preserve"> pentru perioada 2025-2027</w:t>
      </w:r>
    </w:p>
    <w:p w14:paraId="56AEE099" w14:textId="77777777" w:rsidR="002B2F7D" w:rsidRPr="00502787" w:rsidRDefault="002B2F7D" w:rsidP="002B2F7D">
      <w:pPr>
        <w:spacing w:after="0"/>
        <w:jc w:val="center"/>
        <w:rPr>
          <w:rFonts w:ascii="Times New Roman" w:hAnsi="Times New Roman" w:cs="Times New Roman"/>
          <w:sz w:val="20"/>
          <w:szCs w:val="20"/>
          <w:lang w:val="ro-MD"/>
        </w:rPr>
      </w:pPr>
    </w:p>
    <w:tbl>
      <w:tblPr>
        <w:tblStyle w:val="Tabelgril"/>
        <w:tblW w:w="14314" w:type="dxa"/>
        <w:tblLayout w:type="fixed"/>
        <w:tblLook w:val="04A0" w:firstRow="1" w:lastRow="0" w:firstColumn="1" w:lastColumn="0" w:noHBand="0" w:noVBand="1"/>
      </w:tblPr>
      <w:tblGrid>
        <w:gridCol w:w="556"/>
        <w:gridCol w:w="2278"/>
        <w:gridCol w:w="6661"/>
        <w:gridCol w:w="4819"/>
      </w:tblGrid>
      <w:tr w:rsidR="0024020C" w:rsidRPr="00502787" w14:paraId="3AA6EA67" w14:textId="77777777">
        <w:trPr>
          <w:tblHeader/>
        </w:trPr>
        <w:tc>
          <w:tcPr>
            <w:tcW w:w="556" w:type="dxa"/>
            <w:shd w:val="clear" w:color="auto" w:fill="D9D9D9" w:themeFill="background1" w:themeFillShade="D9"/>
            <w:vAlign w:val="center"/>
          </w:tcPr>
          <w:p w14:paraId="1C5F0D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Nr.</w:t>
            </w:r>
          </w:p>
        </w:tc>
        <w:tc>
          <w:tcPr>
            <w:tcW w:w="2278" w:type="dxa"/>
            <w:shd w:val="clear" w:color="auto" w:fill="D9D9D9" w:themeFill="background1" w:themeFillShade="D9"/>
            <w:vAlign w:val="center"/>
          </w:tcPr>
          <w:p w14:paraId="059D041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Participant la avizare/expertizare /consultare publică</w:t>
            </w:r>
          </w:p>
        </w:tc>
        <w:tc>
          <w:tcPr>
            <w:tcW w:w="6661" w:type="dxa"/>
            <w:shd w:val="clear" w:color="auto" w:fill="D9D9D9" w:themeFill="background1" w:themeFillShade="D9"/>
            <w:vAlign w:val="center"/>
          </w:tcPr>
          <w:p w14:paraId="73B2901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Conținutul obiecției/propunerii (recomandării)</w:t>
            </w:r>
          </w:p>
        </w:tc>
        <w:tc>
          <w:tcPr>
            <w:tcW w:w="4819" w:type="dxa"/>
            <w:shd w:val="clear" w:color="auto" w:fill="D9D9D9" w:themeFill="background1" w:themeFillShade="D9"/>
            <w:vAlign w:val="center"/>
          </w:tcPr>
          <w:p w14:paraId="244EA2D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Argumentarea instituției responsabile pe reforme/măsuri</w:t>
            </w:r>
          </w:p>
          <w:p w14:paraId="77CAD053"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17D81938" w14:textId="77777777">
        <w:trPr>
          <w:trHeight w:val="1475"/>
        </w:trPr>
        <w:tc>
          <w:tcPr>
            <w:tcW w:w="556" w:type="dxa"/>
            <w:vMerge w:val="restart"/>
          </w:tcPr>
          <w:p w14:paraId="307B3AC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w:t>
            </w:r>
          </w:p>
        </w:tc>
        <w:tc>
          <w:tcPr>
            <w:tcW w:w="2278" w:type="dxa"/>
            <w:vMerge w:val="restart"/>
          </w:tcPr>
          <w:p w14:paraId="73F53D85" w14:textId="77777777" w:rsidR="00D51751"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Academia de Științe a Moldovei</w:t>
            </w:r>
            <w:r w:rsidR="00335E6F" w:rsidRPr="00502787">
              <w:rPr>
                <w:rFonts w:ascii="Times New Roman" w:hAnsi="Times New Roman" w:cs="Times New Roman"/>
                <w:sz w:val="20"/>
                <w:szCs w:val="20"/>
                <w:lang w:val="ro-MD"/>
              </w:rPr>
              <w:t xml:space="preserve"> </w:t>
            </w:r>
          </w:p>
          <w:p w14:paraId="028A911B" w14:textId="7588607E" w:rsidR="00F3660E" w:rsidRPr="00D51751" w:rsidRDefault="00335E6F" w:rsidP="00502787">
            <w:pPr>
              <w:jc w:val="both"/>
              <w:rPr>
                <w:rFonts w:ascii="Times New Roman" w:hAnsi="Times New Roman" w:cs="Times New Roman"/>
                <w:i/>
                <w:sz w:val="20"/>
                <w:szCs w:val="20"/>
                <w:lang w:val="ro-MD"/>
              </w:rPr>
            </w:pPr>
            <w:r w:rsidRPr="00D51751">
              <w:rPr>
                <w:rFonts w:ascii="Times New Roman" w:hAnsi="Times New Roman" w:cs="Times New Roman"/>
                <w:i/>
                <w:sz w:val="20"/>
                <w:szCs w:val="20"/>
                <w:lang w:val="ro-MD"/>
              </w:rPr>
              <w:t>(</w:t>
            </w:r>
            <w:r w:rsidR="00D51751" w:rsidRPr="00D51751">
              <w:rPr>
                <w:rFonts w:ascii="Times New Roman" w:hAnsi="Times New Roman" w:cs="Times New Roman"/>
                <w:i/>
                <w:sz w:val="20"/>
                <w:szCs w:val="20"/>
                <w:lang w:val="ro-MD"/>
              </w:rPr>
              <w:t>demers nr. 217-13/5 din 21.03.2025</w:t>
            </w:r>
            <w:r w:rsidRPr="00D51751">
              <w:rPr>
                <w:rFonts w:ascii="Times New Roman" w:hAnsi="Times New Roman" w:cs="Times New Roman"/>
                <w:i/>
                <w:sz w:val="20"/>
                <w:szCs w:val="20"/>
                <w:lang w:val="ro-MD"/>
              </w:rPr>
              <w:t>)</w:t>
            </w:r>
          </w:p>
        </w:tc>
        <w:tc>
          <w:tcPr>
            <w:tcW w:w="6661" w:type="dxa"/>
            <w:vMerge w:val="restart"/>
          </w:tcPr>
          <w:p w14:paraId="18ED5DC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Privitor la mecanismul de monitorizare și evaluare constatăm că calitatea și oportunitatea procesului de monitorizare joacă un rol esențial în implementarea eficientă a reformelor. În acest context, în vederea asigurării implementării corespunzătoare a Agendei propriu-zise și obținerii impactului anticipat, considerăm extrem de importantă instituirea și respectarea unui mecanism eficient de monitorizare și evaluare a rezultatelor implementării acțiunilor stabilite de către autoritățile responsabile de executarea Agendei și a fiecărei acțiuni, în particular. Prin urmare, propunem ca procesul de monitorizare să nu se limiteze doar la cuantificarea acțiunilor realizate și nerealizate, ci să includă mențiuni privind respectarea termenilor de implementare, cauzele neimplementării sau extinderii termenului de implementare provocărilor majore întâmpinate în implementare. Rapoartele de monitorizare/ evaluare și Rapoartele de activitate ale instituțiilor responsabile de implementarea acțiunilor în cadrul Agendei trebuie să fie publicate anual și să reprezinte documente de bază pentru justificarea implementării/ neimplementării acțiunilor planificate.</w:t>
            </w:r>
          </w:p>
          <w:p w14:paraId="65325748" w14:textId="77777777" w:rsidR="00F3660E" w:rsidRPr="00502787" w:rsidRDefault="00F3660E" w:rsidP="00502787">
            <w:pPr>
              <w:jc w:val="both"/>
              <w:rPr>
                <w:rFonts w:ascii="Times New Roman" w:hAnsi="Times New Roman" w:cs="Times New Roman"/>
                <w:sz w:val="20"/>
                <w:szCs w:val="20"/>
                <w:lang w:val="ro-MD"/>
              </w:rPr>
            </w:pPr>
          </w:p>
          <w:p w14:paraId="574B4F6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Privitor la compatibilitatea statistică și necesitatea unei reforme în domeniul statisticii oficiale. Un obstacol major în calea unei evaluări obiective și comparative a progresului Republicii Moldova il constituie lipsa indicatorilor statistici socio-economici aliniați la standardele Uniunii Europene. Acest aspect afectează nu doar măsurarea performanței reformelor, dar și dialogul cu partenerii de dezvoltare. În acest sens, propunem includerea în Agenda de Reformă a unei componente prioritare orientate spre reforma sistemului statistic național, astfel încât Biroul Național de Statistică să dispună de cadrul instituțional și metodologic necesar pentru: producerea de indicatori armonizați (sociali, economici și de mediu); alinierea la cerințele Eurostat; asigurarea interoperabilității cu sistemele de date ale UE. Această măsură ar contribui substanțial la transparență, responsabilitate și coerența în procesul de aderare la Uniunea Europeană. În concluzie, considerăm că documentul supus consultării reprezintă o bază solidă pentru realizarea unui cadru coerent de reforme. Propunerile prezentate vizează sporirea impactului și sustenabilității acțiunilor prevăzute în document, contribuind astfel la atingerea obiectivelor strategice de dezvoltare ale Republicii Moldova.</w:t>
            </w:r>
          </w:p>
          <w:p w14:paraId="7F3211FC" w14:textId="77777777" w:rsidR="00F3660E" w:rsidRPr="00502787" w:rsidRDefault="00F3660E" w:rsidP="00502787">
            <w:pPr>
              <w:jc w:val="both"/>
              <w:rPr>
                <w:rFonts w:ascii="Times New Roman" w:hAnsi="Times New Roman" w:cs="Times New Roman"/>
                <w:sz w:val="20"/>
                <w:szCs w:val="20"/>
                <w:lang w:val="ro-MD"/>
              </w:rPr>
            </w:pPr>
          </w:p>
          <w:p w14:paraId="3EE8DC25" w14:textId="77777777" w:rsidR="00F3660E" w:rsidRPr="00502787" w:rsidRDefault="00F3660E" w:rsidP="00502787">
            <w:pPr>
              <w:jc w:val="both"/>
              <w:rPr>
                <w:rFonts w:ascii="Times New Roman" w:hAnsi="Times New Roman" w:cs="Times New Roman"/>
                <w:sz w:val="20"/>
                <w:szCs w:val="20"/>
                <w:lang w:val="ro-MD"/>
              </w:rPr>
            </w:pPr>
          </w:p>
          <w:p w14:paraId="06524AFE" w14:textId="77777777" w:rsidR="00F3660E" w:rsidRPr="00502787" w:rsidRDefault="00F3660E" w:rsidP="00502787">
            <w:pPr>
              <w:jc w:val="both"/>
              <w:rPr>
                <w:rFonts w:ascii="Times New Roman" w:hAnsi="Times New Roman" w:cs="Times New Roman"/>
                <w:sz w:val="20"/>
                <w:szCs w:val="20"/>
                <w:lang w:val="ro-MD"/>
              </w:rPr>
            </w:pPr>
          </w:p>
          <w:p w14:paraId="1E1393B2" w14:textId="77777777" w:rsidR="00F3660E" w:rsidRPr="00502787" w:rsidRDefault="00F3660E" w:rsidP="00502787">
            <w:pPr>
              <w:jc w:val="both"/>
              <w:rPr>
                <w:rFonts w:ascii="Times New Roman" w:hAnsi="Times New Roman" w:cs="Times New Roman"/>
                <w:sz w:val="20"/>
                <w:szCs w:val="20"/>
                <w:lang w:val="ro-MD"/>
              </w:rPr>
            </w:pPr>
          </w:p>
          <w:p w14:paraId="7015C796" w14:textId="77777777" w:rsidR="00F3660E" w:rsidRPr="00502787" w:rsidRDefault="00F3660E" w:rsidP="00502787">
            <w:pPr>
              <w:jc w:val="both"/>
              <w:rPr>
                <w:rFonts w:ascii="Times New Roman" w:hAnsi="Times New Roman" w:cs="Times New Roman"/>
                <w:sz w:val="20"/>
                <w:szCs w:val="20"/>
                <w:lang w:val="ro-MD"/>
              </w:rPr>
            </w:pPr>
          </w:p>
          <w:p w14:paraId="0E96C0FA" w14:textId="77777777" w:rsidR="00F3660E" w:rsidRPr="00502787" w:rsidRDefault="00F3660E" w:rsidP="00502787">
            <w:pPr>
              <w:jc w:val="both"/>
              <w:rPr>
                <w:rFonts w:ascii="Times New Roman" w:hAnsi="Times New Roman" w:cs="Times New Roman"/>
                <w:sz w:val="20"/>
                <w:szCs w:val="20"/>
                <w:lang w:val="ro-MD"/>
              </w:rPr>
            </w:pPr>
          </w:p>
        </w:tc>
        <w:tc>
          <w:tcPr>
            <w:tcW w:w="4819" w:type="dxa"/>
            <w:vMerge w:val="restart"/>
          </w:tcPr>
          <w:p w14:paraId="4875F77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Cancelaria de Stat</w:t>
            </w:r>
          </w:p>
          <w:p w14:paraId="63806B4D" w14:textId="1EFBEF8F"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Referitor la mecanismul de monitorizare evaluare a prevederilor Agendei de Reforme pentru perioada 2025-2027, acesta urmează a fi dezvoltat în consultare cu partenerii europeni, având în vedere prevederile proiectului Acordului de Facilitate între Uniunea Europeană și Republica Moldova. În acest sens, menționăm că atât procedurile de monitorizare, raportare și evaluare, cât și aspectele de vizibilitate și transparență vor fi elaborate în corespundere cu standardele UE.</w:t>
            </w:r>
          </w:p>
          <w:p w14:paraId="50A152D8" w14:textId="77777777" w:rsidR="00F3660E" w:rsidRPr="00502787" w:rsidRDefault="00F3660E" w:rsidP="00502787">
            <w:pPr>
              <w:jc w:val="both"/>
              <w:rPr>
                <w:rFonts w:ascii="Times New Roman" w:hAnsi="Times New Roman" w:cs="Times New Roman"/>
                <w:sz w:val="20"/>
                <w:szCs w:val="20"/>
                <w:lang w:val="ro-MD"/>
              </w:rPr>
            </w:pPr>
          </w:p>
          <w:p w14:paraId="4AD216CA" w14:textId="1762418D"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Biroul Național de Statistică</w:t>
            </w:r>
          </w:p>
          <w:p w14:paraId="78C1150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Procesul de aliniere la standardele UE este o prioritate a BNS de mai mulți ani, o parte semnificativă a statisticlor fiind deja aliniate la acquis-ul UE.</w:t>
            </w:r>
          </w:p>
          <w:p w14:paraId="2251937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Alinierea în continuare a statisticii oficiale la acquis-ul UE, (în special privind statistica macroeconomică, demografică pe baza Recensământului Populației și locuințelor,  statisticile agricole, în special privind recensământul agricol) care ar acorda suport pentru dezvoltarea economică și socială, este prevăzută în activitățile (etapele) 20-22 din Agenda de Reforme pentru perioada 2025-2027. Activitățile detaliate privind alinierea statisticii la acquis-ul UE sunt prevăzute în proiectul </w:t>
            </w:r>
            <w:hyperlink r:id="rId7" w:tooltip="https://gov.md/ro/advanced-page-type/info-centre" w:history="1">
              <w:r w:rsidRPr="00502787">
                <w:rPr>
                  <w:rStyle w:val="Hyperlink"/>
                  <w:rFonts w:ascii="Times New Roman" w:eastAsia="Times New Roman" w:hAnsi="Times New Roman" w:cs="Times New Roman"/>
                  <w:b/>
                  <w:color w:val="auto"/>
                  <w:sz w:val="20"/>
                  <w:szCs w:val="20"/>
                  <w:lang w:val="ro-MD"/>
                </w:rPr>
                <w:t>Programului Național de Aderare</w:t>
              </w:r>
            </w:hyperlink>
            <w:r w:rsidRPr="00502787">
              <w:rPr>
                <w:rFonts w:ascii="Times New Roman" w:hAnsi="Times New Roman" w:cs="Times New Roman"/>
                <w:sz w:val="20"/>
                <w:szCs w:val="20"/>
                <w:lang w:val="ro-MD"/>
              </w:rPr>
              <w:t xml:space="preserve"> a Republicii Moldova la Uniunea Europeană 2025–2029 (PNA). În acest sens, informăm că proiectul  PNA, Capitolul 18 „Statistici” prevede un set amplu de acțiuni de aliniere a statisticilor naționale, fiind detaliate în </w:t>
            </w:r>
            <w:hyperlink r:id="rId8" w:tooltip="https://gov.md/sites/default/files/anexa_a_-_capitolul_18.pdf" w:history="1">
              <w:r w:rsidRPr="00502787">
                <w:rPr>
                  <w:rStyle w:val="Hyperlink"/>
                  <w:rFonts w:ascii="Times New Roman" w:eastAsia="Times New Roman" w:hAnsi="Times New Roman" w:cs="Times New Roman"/>
                  <w:color w:val="auto"/>
                  <w:sz w:val="20"/>
                  <w:szCs w:val="20"/>
                  <w:u w:val="none"/>
                  <w:lang w:val="ro-MD"/>
                </w:rPr>
                <w:t>Anexa A</w:t>
              </w:r>
            </w:hyperlink>
            <w:r w:rsidRPr="00502787">
              <w:rPr>
                <w:rFonts w:ascii="Times New Roman" w:hAnsi="Times New Roman" w:cs="Times New Roman"/>
                <w:sz w:val="20"/>
                <w:szCs w:val="20"/>
                <w:lang w:val="ro-MD"/>
              </w:rPr>
              <w:t xml:space="preserve"> - 83 acțiuni normative și </w:t>
            </w:r>
            <w:hyperlink r:id="rId9" w:tooltip="https://gov.md/sites/default/files/anexa_b_-_capitolul_18.pdf" w:history="1">
              <w:r w:rsidRPr="00502787">
                <w:rPr>
                  <w:rStyle w:val="Hyperlink"/>
                  <w:rFonts w:ascii="Times New Roman" w:eastAsia="Times New Roman" w:hAnsi="Times New Roman" w:cs="Times New Roman"/>
                  <w:color w:val="auto"/>
                  <w:sz w:val="20"/>
                  <w:szCs w:val="20"/>
                  <w:u w:val="none"/>
                  <w:lang w:val="ro-MD"/>
                </w:rPr>
                <w:t>Anexa B</w:t>
              </w:r>
            </w:hyperlink>
            <w:r w:rsidRPr="00502787">
              <w:rPr>
                <w:rFonts w:ascii="Times New Roman" w:hAnsi="Times New Roman" w:cs="Times New Roman"/>
                <w:sz w:val="20"/>
                <w:szCs w:val="20"/>
                <w:lang w:val="ro-MD"/>
              </w:rPr>
              <w:t>  - 85 acțiuni de implementare. Aceste acțiuni vizează:</w:t>
            </w:r>
          </w:p>
          <w:p w14:paraId="2E937D9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consolidarea capacității instituționale și operaționale a BNS pentru a răspunde cerințelor de aliniere la acquis-ul statistic al Uniunii Europene;</w:t>
            </w:r>
          </w:p>
          <w:p w14:paraId="6B470F7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armonizarea indicatorilor statistici socio-economici și de mediu cu standardele și metodologiile UE;</w:t>
            </w:r>
          </w:p>
          <w:p w14:paraId="7F19B23F" w14:textId="4A4A972E"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dezvoltarea interoperabilității sistemului național de date, prin utilizarea datelor administrative, digitalizarea </w:t>
            </w:r>
            <w:r w:rsidRPr="00502787">
              <w:rPr>
                <w:rFonts w:ascii="Times New Roman" w:hAnsi="Times New Roman" w:cs="Times New Roman"/>
                <w:sz w:val="20"/>
                <w:szCs w:val="20"/>
                <w:lang w:val="ro-MD"/>
              </w:rPr>
              <w:lastRenderedPageBreak/>
              <w:t>proceselor și modernizarea infrastructurii IT;asigurarea sustenabilității reformelor statistice prin cooperarea cu partenerii de dezvoltare și instituțiile științifice, academice și de cercetare.</w:t>
            </w:r>
          </w:p>
        </w:tc>
      </w:tr>
      <w:tr w:rsidR="0024020C" w:rsidRPr="00502787" w14:paraId="36EE6E88" w14:textId="77777777">
        <w:trPr>
          <w:trHeight w:val="1475"/>
        </w:trPr>
        <w:tc>
          <w:tcPr>
            <w:tcW w:w="556" w:type="dxa"/>
            <w:vMerge w:val="restart"/>
          </w:tcPr>
          <w:p w14:paraId="584C366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2.</w:t>
            </w:r>
          </w:p>
        </w:tc>
        <w:tc>
          <w:tcPr>
            <w:tcW w:w="2278" w:type="dxa"/>
            <w:vMerge w:val="restart"/>
          </w:tcPr>
          <w:p w14:paraId="7ED03567" w14:textId="77777777" w:rsidR="00F3660E"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Alianța Organizațiilor Nonguvernamentale Active în Domeniul Protecției Sociale a Copilului și Familiei</w:t>
            </w:r>
          </w:p>
          <w:p w14:paraId="1F19F7A7" w14:textId="423E8807" w:rsidR="00D51751" w:rsidRPr="00D51751" w:rsidRDefault="00D51751" w:rsidP="00502787">
            <w:pPr>
              <w:jc w:val="both"/>
              <w:rPr>
                <w:rFonts w:ascii="Times New Roman" w:hAnsi="Times New Roman" w:cs="Times New Roman"/>
                <w:i/>
                <w:sz w:val="20"/>
                <w:szCs w:val="20"/>
                <w:lang w:val="ro-MD"/>
              </w:rPr>
            </w:pPr>
            <w:r w:rsidRPr="00D51751">
              <w:rPr>
                <w:rFonts w:ascii="Times New Roman" w:hAnsi="Times New Roman" w:cs="Times New Roman"/>
                <w:i/>
                <w:sz w:val="20"/>
                <w:szCs w:val="20"/>
                <w:lang w:val="ro-MD"/>
              </w:rPr>
              <w:t>(propunere parvenită prin intermediul poștei electronice la data de 24.03.2025)</w:t>
            </w:r>
          </w:p>
          <w:p w14:paraId="149DB9C4"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01EC45B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1, după  măsura 11 se propune includerea următoarei măsuri noi:</w:t>
            </w:r>
          </w:p>
          <w:p w14:paraId="603BF33E" w14:textId="7EC1FF4F"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11.1. Disadvantaged families, including those with disabilities, single parents, with 3 and more children, are entrepreneurship and economic </w:t>
            </w:r>
            <w:r w:rsidR="00CA58C9" w:rsidRPr="00502787">
              <w:rPr>
                <w:rFonts w:ascii="Times New Roman" w:eastAsiaTheme="minorEastAsia" w:hAnsi="Times New Roman" w:cs="Times New Roman"/>
                <w:sz w:val="20"/>
                <w:szCs w:val="20"/>
                <w:lang w:val="ro-MD"/>
              </w:rPr>
              <w:t xml:space="preserve">covered by new state aid scheme through social responsibility mechanism, social </w:t>
            </w:r>
            <w:r w:rsidRPr="00502787">
              <w:rPr>
                <w:rFonts w:ascii="Times New Roman" w:eastAsiaTheme="minorEastAsia" w:hAnsi="Times New Roman" w:cs="Times New Roman"/>
                <w:sz w:val="20"/>
                <w:szCs w:val="20"/>
                <w:lang w:val="ro-MD"/>
              </w:rPr>
              <w:t>family strengthening activities, and support measures for integration into labour market.</w:t>
            </w:r>
          </w:p>
          <w:p w14:paraId="76EF8955" w14:textId="77777777" w:rsidR="00F3660E" w:rsidRPr="00502787" w:rsidRDefault="00F3660E" w:rsidP="00502787">
            <w:pPr>
              <w:jc w:val="both"/>
              <w:rPr>
                <w:rFonts w:ascii="Times New Roman" w:hAnsi="Times New Roman" w:cs="Times New Roman"/>
                <w:sz w:val="20"/>
                <w:szCs w:val="20"/>
                <w:lang w:val="ro-MD"/>
              </w:rPr>
            </w:pPr>
          </w:p>
        </w:tc>
        <w:tc>
          <w:tcPr>
            <w:tcW w:w="4819" w:type="dxa"/>
          </w:tcPr>
          <w:p w14:paraId="5E7483BA" w14:textId="62594D05" w:rsidR="00F3660E" w:rsidRPr="00502787" w:rsidRDefault="00CA58C9"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 urma consultărilor cu instituțiile responsabile de reforme, au fost validate și discutate cu Comisia Europeană mai multe propuneri care vizează grupurile defavorizate, inclusiv persoanele cu dizabilități și copiii cu nevoi educaționale speciale. Aceste propuneri au stat la baza modificării finale a Agendei de reformă 2025-2027.</w:t>
            </w:r>
            <w:r w:rsidR="00480C4A" w:rsidRPr="00502787">
              <w:rPr>
                <w:rFonts w:ascii="Times New Roman" w:hAnsi="Times New Roman" w:cs="Times New Roman"/>
                <w:sz w:val="20"/>
                <w:szCs w:val="20"/>
                <w:lang w:val="ro-MD"/>
              </w:rPr>
              <w:t xml:space="preserve"> </w:t>
            </w:r>
          </w:p>
        </w:tc>
      </w:tr>
      <w:tr w:rsidR="0024020C" w:rsidRPr="00502787" w14:paraId="4A24AC80" w14:textId="77777777">
        <w:trPr>
          <w:trHeight w:val="1367"/>
        </w:trPr>
        <w:tc>
          <w:tcPr>
            <w:tcW w:w="556" w:type="dxa"/>
            <w:vMerge/>
          </w:tcPr>
          <w:p w14:paraId="741329D3"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1E387C5D"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7807C73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Pilonul 1, după măsura 28 se propune includerea următoarei măsuri noi: </w:t>
            </w:r>
            <w:r w:rsidRPr="00502787">
              <w:rPr>
                <w:rFonts w:ascii="Times New Roman" w:eastAsiaTheme="minorEastAsia" w:hAnsi="Times New Roman" w:cs="Times New Roman"/>
                <w:sz w:val="20"/>
                <w:szCs w:val="20"/>
                <w:lang w:val="ro-MD"/>
              </w:rPr>
              <w:t>Disadvantaged families, including those with disabilities, single parents, with 3 and more children, aro covered by rural development projects through social entrepreneurship and economic family strengthening activities, and support measures for integration into labour market.</w:t>
            </w:r>
          </w:p>
        </w:tc>
        <w:tc>
          <w:tcPr>
            <w:tcW w:w="4819" w:type="dxa"/>
          </w:tcPr>
          <w:p w14:paraId="66E30089" w14:textId="72FD7603"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Agriculturii și Industriei Alimentare </w:t>
            </w:r>
          </w:p>
          <w:p w14:paraId="2D98634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Nu se acceptă, deoarece prin Programul Leader prevăzut la măsura 28, are ca scop dezvoltarea zonelor rurale prin stimularea creșterii economice, în special întreprinderile micro și mici, socială, culturală și de mediu, îmbunătățirea condițiilor de viață și de muncă pentru populația locală. Astfel, sprijinul financiar este destinat pentru toate tipurile de antreprenoriat, pentru sectorul public și civic, inclusiv pentru tineri, femei și persoane dezavantajate, care doresc să dezvolte o afacere. </w:t>
            </w:r>
          </w:p>
        </w:tc>
      </w:tr>
      <w:tr w:rsidR="0024020C" w:rsidRPr="00502787" w14:paraId="06360F75" w14:textId="77777777">
        <w:tc>
          <w:tcPr>
            <w:tcW w:w="556" w:type="dxa"/>
            <w:vMerge/>
          </w:tcPr>
          <w:p w14:paraId="7BFA75F3"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528BE81B"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5C54455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2, reforma ”Transport connectivity” după măsura 2 se propune includerea unei mărusi noi:</w:t>
            </w:r>
          </w:p>
          <w:p w14:paraId="27F4621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Access of persons with disabilities to adapted public transportation, at least in Chisinau and Balti municipalities ensured by 2026. </w:t>
            </w:r>
          </w:p>
          <w:p w14:paraId="6564A7A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Access of children with disabilities to school buses is covered nationwide</w:t>
            </w:r>
          </w:p>
          <w:p w14:paraId="6180CFEA" w14:textId="77777777" w:rsidR="00F3660E" w:rsidRPr="00502787" w:rsidRDefault="00F3660E" w:rsidP="00502787">
            <w:pPr>
              <w:jc w:val="both"/>
              <w:rPr>
                <w:rFonts w:ascii="Times New Roman" w:hAnsi="Times New Roman" w:cs="Times New Roman"/>
                <w:sz w:val="20"/>
                <w:szCs w:val="20"/>
                <w:lang w:val="ro-MD"/>
              </w:rPr>
            </w:pPr>
          </w:p>
          <w:p w14:paraId="25B535D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Baseline: In Chisinau - Out of 434 trolleybuses, 349 are equipped with access ramps (80.4%), and out of 205 buses, all have ramps (100%).</w:t>
            </w:r>
          </w:p>
          <w:p w14:paraId="33DEB61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 Balti - Out of the total of 70 trolleybuses, 56 are adapted for the transportation of persons with disabilities (80%). For buses there are no data published or presented.</w:t>
            </w:r>
          </w:p>
        </w:tc>
        <w:tc>
          <w:tcPr>
            <w:tcW w:w="4819" w:type="dxa"/>
          </w:tcPr>
          <w:p w14:paraId="774799B8" w14:textId="3F9719A0"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Infrastructurii și Dezvoltării Regionale</w:t>
            </w:r>
          </w:p>
          <w:p w14:paraId="158ABB09" w14:textId="6ABFBFA2"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Potrivit art.14 din Codul Transporturilor Rutiere nr. 150/2014, evocăm că  organizarea transporturilor rutiere la nivel local este o competență exclusivă a Consiliilor locale. Mai mult, art.20 din Legea nr.60/2012 </w:t>
            </w:r>
            <w:hyperlink r:id="rId10" w:tooltip="https://www.legis.md/cautare/getResults?doc_id=146155&amp;lang=ro" w:history="1">
              <w:r w:rsidRPr="00502787">
                <w:rPr>
                  <w:rStyle w:val="Hyperlink"/>
                  <w:rFonts w:ascii="Times New Roman" w:eastAsia="Times New Roman" w:hAnsi="Times New Roman" w:cs="Times New Roman"/>
                  <w:color w:val="auto"/>
                  <w:sz w:val="20"/>
                  <w:szCs w:val="20"/>
                  <w:u w:val="none"/>
                  <w:lang w:val="ro-MD"/>
                </w:rPr>
                <w:t>privind incluziunea socială a persoanelor cu dizabilităţi</w:t>
              </w:r>
            </w:hyperlink>
            <w:r w:rsidRPr="00502787">
              <w:rPr>
                <w:rFonts w:ascii="Times New Roman" w:hAnsi="Times New Roman" w:cs="Times New Roman"/>
                <w:sz w:val="20"/>
                <w:szCs w:val="20"/>
                <w:lang w:val="ro-MD"/>
              </w:rPr>
              <w:t xml:space="preserve">, atribuie în responsabilitatea agenţilor economici indiferent de forma de proprietate, obligaţia de adaptare a mijloacelor de transport aflate în circulaţie. Prin urmare, în procesul organizării transportului rutier de persoane prin servicii regulate în trafic local/municipal, consiliile locale urmează să asigure implementarea acestor prevederi de către operatorii de transport rutier. </w:t>
            </w:r>
          </w:p>
        </w:tc>
      </w:tr>
      <w:tr w:rsidR="0024020C" w:rsidRPr="00502787" w14:paraId="49F5DB89" w14:textId="77777777">
        <w:trPr>
          <w:trHeight w:val="562"/>
        </w:trPr>
        <w:tc>
          <w:tcPr>
            <w:tcW w:w="556" w:type="dxa"/>
            <w:vMerge/>
          </w:tcPr>
          <w:p w14:paraId="62FB9E0B"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69EB0215"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77BBC3A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4 Reform</w:t>
            </w:r>
            <w:r w:rsidRPr="00502787">
              <w:rPr>
                <w:rFonts w:ascii="Times New Roman" w:eastAsiaTheme="minorEastAsia" w:hAnsi="Times New Roman" w:cs="Times New Roman"/>
                <w:sz w:val="20"/>
                <w:szCs w:val="20"/>
                <w:lang w:val="ro-MD"/>
              </w:rPr>
              <w:t xml:space="preserve">a ”Reducing mismatch between skills and labour market demands through enhanced vocational education and training”, se </w:t>
            </w:r>
            <w:r w:rsidRPr="00502787">
              <w:rPr>
                <w:rFonts w:ascii="Times New Roman" w:hAnsi="Times New Roman" w:cs="Times New Roman"/>
                <w:sz w:val="20"/>
                <w:szCs w:val="20"/>
                <w:lang w:val="ro-MD"/>
              </w:rPr>
              <w:t>propune următoarea redacție:</w:t>
            </w:r>
          </w:p>
          <w:p w14:paraId="794DF0AD" w14:textId="77777777" w:rsidR="00F3660E" w:rsidRPr="00502787" w:rsidRDefault="00F3660E" w:rsidP="00502787">
            <w:pPr>
              <w:jc w:val="both"/>
              <w:rPr>
                <w:rFonts w:ascii="Times New Roman" w:hAnsi="Times New Roman" w:cs="Times New Roman"/>
                <w:sz w:val="20"/>
                <w:szCs w:val="20"/>
                <w:u w:val="single"/>
                <w:lang w:val="ro-MD"/>
              </w:rPr>
            </w:pPr>
          </w:p>
          <w:p w14:paraId="3E170560"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eastAsia="en-GB"/>
              </w:rPr>
              <w:t>Măsura 3</w:t>
            </w:r>
          </w:p>
          <w:p w14:paraId="75381F80" w14:textId="24F3F94F"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 xml:space="preserve">Populations’ digital skills are strengthened, with at least </w:t>
            </w:r>
            <w:r w:rsidRPr="00502787">
              <w:rPr>
                <w:rFonts w:ascii="Times New Roman" w:eastAsiaTheme="minorEastAsia" w:hAnsi="Times New Roman" w:cs="Times New Roman"/>
                <w:strike/>
                <w:sz w:val="20"/>
                <w:szCs w:val="20"/>
                <w:lang w:val="ro-MD" w:eastAsia="en-GB"/>
              </w:rPr>
              <w:t>25%</w:t>
            </w:r>
            <w:r w:rsidRPr="00502787">
              <w:rPr>
                <w:rFonts w:ascii="Times New Roman" w:eastAsiaTheme="minorEastAsia" w:hAnsi="Times New Roman" w:cs="Times New Roman"/>
                <w:sz w:val="20"/>
                <w:szCs w:val="20"/>
                <w:lang w:val="ro-MD" w:eastAsia="en-GB"/>
              </w:rPr>
              <w:t xml:space="preserve">50% of teachers (in the general education and VET system) obtaining a certification of minimum </w:t>
            </w:r>
            <w:r w:rsidRPr="00502787">
              <w:rPr>
                <w:rFonts w:ascii="Times New Roman" w:eastAsiaTheme="minorEastAsia" w:hAnsi="Times New Roman" w:cs="Times New Roman"/>
                <w:sz w:val="20"/>
                <w:szCs w:val="20"/>
                <w:lang w:val="ro-MD" w:eastAsia="en-GB"/>
              </w:rPr>
              <w:lastRenderedPageBreak/>
              <w:t xml:space="preserve">level A1 on digital competencies, and 25 % will be certified in A2, based on the DigiCompEdu framework, and the share of tertiary level students in STEAM and ICT disciplines is increased to at least 25%. </w:t>
            </w:r>
          </w:p>
          <w:p w14:paraId="051D5EAD"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hAnsi="Times New Roman" w:cs="Times New Roman"/>
                <w:sz w:val="20"/>
                <w:szCs w:val="20"/>
                <w:u w:val="single"/>
                <w:lang w:val="ro-MD"/>
              </w:rPr>
              <w:t xml:space="preserve">Măsura 4 </w:t>
            </w:r>
          </w:p>
          <w:p w14:paraId="52C5B8FC"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lang w:val="ro-MD" w:eastAsia="en-GB"/>
              </w:rPr>
              <w:t>Dual-education reform is advanced, increasing the total number of students enrolled in dual-VET programmes to at least 6000 for the years 2025-27 cumulatively respecting gender ratio 40%-60 %  female -male, and increasing the number of students in dual-higher education programmes to at least 600 for 2025-27 cumulatively.</w:t>
            </w:r>
          </w:p>
          <w:p w14:paraId="66A0DDC7" w14:textId="732508B9"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 xml:space="preserve">At least 15% of students with disability/special educational needs  will be enrolled </w:t>
            </w:r>
          </w:p>
          <w:p w14:paraId="4468FE80"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hAnsi="Times New Roman" w:cs="Times New Roman"/>
                <w:sz w:val="20"/>
                <w:szCs w:val="20"/>
                <w:u w:val="single"/>
                <w:lang w:val="ro-MD"/>
              </w:rPr>
              <w:t>Măsura 5</w:t>
            </w:r>
          </w:p>
          <w:p w14:paraId="6FF6D2E6" w14:textId="68CB842F"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hAnsi="Times New Roman" w:cs="Times New Roman"/>
                <w:sz w:val="20"/>
                <w:szCs w:val="20"/>
                <w:u w:val="single"/>
                <w:lang w:val="ro-MD"/>
              </w:rPr>
              <w:t xml:space="preserve"> </w:t>
            </w:r>
            <w:r w:rsidRPr="00502787">
              <w:rPr>
                <w:rFonts w:ascii="Times New Roman" w:eastAsiaTheme="minorEastAsia" w:hAnsi="Times New Roman" w:cs="Times New Roman"/>
                <w:sz w:val="20"/>
                <w:szCs w:val="20"/>
                <w:lang w:val="ro-MD" w:eastAsia="en-GB"/>
              </w:rPr>
              <w:t xml:space="preserve">Private and public sector childcare service provision is strengthened with a number of childcare places to increase by 5 000 compared to 2024. 30% of childcare places will be subsidised by the state and distributed to low-income families (single mothers, families with 3 and more children, families with children with disabilities, disabled caregivers) </w:t>
            </w:r>
          </w:p>
          <w:p w14:paraId="6B05BE9C"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hAnsi="Times New Roman" w:cs="Times New Roman"/>
                <w:sz w:val="20"/>
                <w:szCs w:val="20"/>
                <w:u w:val="single"/>
                <w:lang w:val="ro-MD"/>
              </w:rPr>
              <w:t xml:space="preserve">Măsura 6 </w:t>
            </w:r>
          </w:p>
          <w:p w14:paraId="566E46A7"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lang w:val="ro-MD" w:eastAsia="en-GB"/>
              </w:rPr>
              <w:t xml:space="preserve">The curriculum reform is advanced, with operationalisation of an evidence-based Monitoring &amp; Evaluation system to assess the progress of students performances, including sample-based standardised student assessments. </w:t>
            </w:r>
          </w:p>
          <w:p w14:paraId="5F9968B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Evidence based system will integrate measures to assess progress of children with special educational needs.</w:t>
            </w:r>
          </w:p>
          <w:p w14:paraId="1B53B5A3" w14:textId="77777777" w:rsidR="00F3660E" w:rsidRPr="00502787" w:rsidRDefault="00F3660E" w:rsidP="00502787">
            <w:pPr>
              <w:jc w:val="both"/>
              <w:rPr>
                <w:rFonts w:ascii="Times New Roman" w:hAnsi="Times New Roman" w:cs="Times New Roman"/>
                <w:sz w:val="20"/>
                <w:szCs w:val="20"/>
                <w:lang w:val="ro-MD"/>
              </w:rPr>
            </w:pPr>
          </w:p>
          <w:p w14:paraId="756BF0A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Pentru reforma ”Improving quality, relevance and inclusiveness of education through improved access to preschool, primary and secondary education”</w:t>
            </w:r>
            <w:r w:rsidRPr="00502787">
              <w:rPr>
                <w:rFonts w:ascii="Times New Roman" w:hAnsi="Times New Roman" w:cs="Times New Roman"/>
                <w:sz w:val="20"/>
                <w:szCs w:val="20"/>
                <w:lang w:val="ro-MD"/>
              </w:rPr>
              <w:t xml:space="preserve">  după măsura 7, propunem includerea a 3 măsuri noi:</w:t>
            </w:r>
          </w:p>
          <w:p w14:paraId="48FCFB1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7.1. Physical infrastructure accessibility of educational services (preschool, primary, secondary, vocational and high education) improved trough: adapted entrances, classrooms, toilets etc). December 2026</w:t>
            </w:r>
          </w:p>
          <w:p w14:paraId="2C3A2821" w14:textId="77777777" w:rsidR="00F3660E" w:rsidRPr="00502787" w:rsidRDefault="00F3660E" w:rsidP="00502787">
            <w:pPr>
              <w:jc w:val="both"/>
              <w:rPr>
                <w:rFonts w:ascii="Times New Roman" w:hAnsi="Times New Roman" w:cs="Times New Roman"/>
                <w:sz w:val="20"/>
                <w:szCs w:val="20"/>
                <w:lang w:val="ro-MD"/>
              </w:rPr>
            </w:pPr>
          </w:p>
          <w:p w14:paraId="4E22545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7.2. Educational support services for children with severe disabilities developed and integrated in at least 20% of schools across the country. December 2026</w:t>
            </w:r>
          </w:p>
          <w:p w14:paraId="160ADCC9" w14:textId="77777777" w:rsidR="00F3660E" w:rsidRPr="00502787" w:rsidRDefault="00F3660E" w:rsidP="00502787">
            <w:pPr>
              <w:jc w:val="both"/>
              <w:rPr>
                <w:rFonts w:ascii="Times New Roman" w:hAnsi="Times New Roman" w:cs="Times New Roman"/>
                <w:sz w:val="20"/>
                <w:szCs w:val="20"/>
                <w:lang w:val="ro-MD"/>
              </w:rPr>
            </w:pPr>
          </w:p>
          <w:p w14:paraId="39C4C79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7.3. Assistive equipment and technologies are provided to children/students with disabilities based on their needs for better inclusion into labour market, education and social life. December 2026</w:t>
            </w:r>
          </w:p>
        </w:tc>
        <w:tc>
          <w:tcPr>
            <w:tcW w:w="4819" w:type="dxa"/>
          </w:tcPr>
          <w:p w14:paraId="3197149E" w14:textId="612A5252"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Educației și Cercetării</w:t>
            </w:r>
          </w:p>
          <w:p w14:paraId="0BFEB909"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hAnsi="Times New Roman" w:cs="Times New Roman"/>
                <w:sz w:val="20"/>
                <w:szCs w:val="20"/>
                <w:u w:val="single"/>
                <w:lang w:val="ro-MD"/>
              </w:rPr>
              <w:t>Măsura 3</w:t>
            </w:r>
          </w:p>
          <w:p w14:paraId="460D344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Ținta de 25% profesori care ar obține nivelul A1 de competențe digitale a fost discutată în repetate rânduri cu Comisia Europeană, și în dependență de necesitățile MEC, am convenit această țintă pentru perioada de referință.</w:t>
            </w:r>
          </w:p>
          <w:p w14:paraId="039AA55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Până în 2028, conform planurilor de lungă durată a Ministerului Educației și Cercetării, dezvoltarea competențelor digitale ale profesorilor atât din învățământ general cât și din învățământul profesional va fi realizată treptat, inclusiv pentru următorul nivel de competențe A2</w:t>
            </w:r>
          </w:p>
          <w:p w14:paraId="629157D5" w14:textId="6DE5A606"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hAnsi="Times New Roman" w:cs="Times New Roman"/>
                <w:sz w:val="20"/>
                <w:szCs w:val="20"/>
                <w:u w:val="single"/>
                <w:lang w:val="ro-MD"/>
              </w:rPr>
              <w:t>Măsura 4</w:t>
            </w:r>
          </w:p>
          <w:p w14:paraId="1A2D8840" w14:textId="07A4B54F"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Dimensiunea gender este intercalată în documentele de politici, iar țintele date sunt deja prevăzute. Comanda de stat atât pentru învățământ superior și învățămât profesional prevede 15% pentru persoane cu cerințe educaționale speciale și alte categorii de persoane.</w:t>
            </w:r>
          </w:p>
          <w:p w14:paraId="78F6CD6C" w14:textId="1C763D79" w:rsidR="0024020C" w:rsidRPr="00502787" w:rsidRDefault="0024020C" w:rsidP="00502787">
            <w:pPr>
              <w:jc w:val="both"/>
              <w:rPr>
                <w:rFonts w:ascii="Times New Roman" w:hAnsi="Times New Roman" w:cs="Times New Roman"/>
                <w:sz w:val="20"/>
                <w:szCs w:val="20"/>
                <w:lang w:val="ro-MD"/>
              </w:rPr>
            </w:pPr>
          </w:p>
          <w:p w14:paraId="7F2111E9" w14:textId="4457F01C" w:rsidR="0024020C" w:rsidRPr="00502787" w:rsidRDefault="0024020C" w:rsidP="00502787">
            <w:pPr>
              <w:jc w:val="both"/>
              <w:rPr>
                <w:rFonts w:ascii="Times New Roman" w:hAnsi="Times New Roman" w:cs="Times New Roman"/>
                <w:sz w:val="20"/>
                <w:szCs w:val="20"/>
                <w:lang w:val="ro-MD"/>
              </w:rPr>
            </w:pPr>
          </w:p>
          <w:p w14:paraId="7CA3295A" w14:textId="5F0DF036" w:rsidR="0024020C" w:rsidRPr="00502787" w:rsidRDefault="0024020C" w:rsidP="00502787">
            <w:pPr>
              <w:jc w:val="both"/>
              <w:rPr>
                <w:rFonts w:ascii="Times New Roman" w:hAnsi="Times New Roman" w:cs="Times New Roman"/>
                <w:sz w:val="20"/>
                <w:szCs w:val="20"/>
                <w:lang w:val="ro-MD"/>
              </w:rPr>
            </w:pPr>
          </w:p>
          <w:p w14:paraId="34C52714" w14:textId="361CC726" w:rsidR="0024020C" w:rsidRPr="00502787" w:rsidRDefault="0024020C" w:rsidP="00502787">
            <w:pPr>
              <w:jc w:val="both"/>
              <w:rPr>
                <w:rFonts w:ascii="Times New Roman" w:hAnsi="Times New Roman" w:cs="Times New Roman"/>
                <w:sz w:val="20"/>
                <w:szCs w:val="20"/>
                <w:lang w:val="ro-MD"/>
              </w:rPr>
            </w:pPr>
          </w:p>
          <w:p w14:paraId="0910D2FA" w14:textId="58BB7D5E" w:rsidR="0024020C" w:rsidRPr="00502787" w:rsidRDefault="0024020C" w:rsidP="00502787">
            <w:pPr>
              <w:jc w:val="both"/>
              <w:rPr>
                <w:rFonts w:ascii="Times New Roman" w:hAnsi="Times New Roman" w:cs="Times New Roman"/>
                <w:sz w:val="20"/>
                <w:szCs w:val="20"/>
                <w:lang w:val="ro-MD"/>
              </w:rPr>
            </w:pPr>
          </w:p>
          <w:p w14:paraId="2BC561AE" w14:textId="14C95DFC" w:rsidR="0024020C" w:rsidRPr="00502787" w:rsidRDefault="0024020C" w:rsidP="00502787">
            <w:pPr>
              <w:jc w:val="both"/>
              <w:rPr>
                <w:rFonts w:ascii="Times New Roman" w:hAnsi="Times New Roman" w:cs="Times New Roman"/>
                <w:sz w:val="20"/>
                <w:szCs w:val="20"/>
                <w:lang w:val="ro-MD"/>
              </w:rPr>
            </w:pPr>
          </w:p>
          <w:p w14:paraId="0C274F76" w14:textId="03781F54" w:rsidR="0024020C" w:rsidRPr="00502787" w:rsidRDefault="0024020C" w:rsidP="00502787">
            <w:pPr>
              <w:jc w:val="both"/>
              <w:rPr>
                <w:rFonts w:ascii="Times New Roman" w:hAnsi="Times New Roman" w:cs="Times New Roman"/>
                <w:sz w:val="20"/>
                <w:szCs w:val="20"/>
                <w:lang w:val="ro-MD"/>
              </w:rPr>
            </w:pPr>
          </w:p>
          <w:p w14:paraId="05BA12C7" w14:textId="6419826B" w:rsidR="0024020C" w:rsidRPr="00502787" w:rsidRDefault="0024020C" w:rsidP="00502787">
            <w:pPr>
              <w:jc w:val="both"/>
              <w:rPr>
                <w:rFonts w:ascii="Times New Roman" w:hAnsi="Times New Roman" w:cs="Times New Roman"/>
                <w:sz w:val="20"/>
                <w:szCs w:val="20"/>
                <w:lang w:val="ro-MD"/>
              </w:rPr>
            </w:pPr>
          </w:p>
          <w:p w14:paraId="397CCFE6" w14:textId="77777777" w:rsidR="00F3660E" w:rsidRPr="00502787" w:rsidRDefault="00F3660E" w:rsidP="00502787">
            <w:pPr>
              <w:jc w:val="both"/>
              <w:rPr>
                <w:rFonts w:ascii="Times New Roman" w:hAnsi="Times New Roman" w:cs="Times New Roman"/>
                <w:sz w:val="20"/>
                <w:szCs w:val="20"/>
                <w:lang w:val="ro-MD"/>
              </w:rPr>
            </w:pPr>
          </w:p>
          <w:p w14:paraId="75B69BDB" w14:textId="77777777" w:rsidR="0024020C" w:rsidRPr="00502787" w:rsidRDefault="0024020C" w:rsidP="00502787">
            <w:pPr>
              <w:jc w:val="both"/>
              <w:rPr>
                <w:rFonts w:ascii="Times New Roman" w:hAnsi="Times New Roman" w:cs="Times New Roman"/>
                <w:sz w:val="20"/>
                <w:szCs w:val="20"/>
                <w:lang w:val="ro-MD"/>
              </w:rPr>
            </w:pPr>
          </w:p>
          <w:p w14:paraId="561EF344" w14:textId="77777777" w:rsidR="0024020C" w:rsidRPr="00502787" w:rsidRDefault="0024020C" w:rsidP="00502787">
            <w:pPr>
              <w:jc w:val="both"/>
              <w:rPr>
                <w:rFonts w:ascii="Times New Roman" w:hAnsi="Times New Roman" w:cs="Times New Roman"/>
                <w:sz w:val="20"/>
                <w:szCs w:val="20"/>
                <w:lang w:val="ro-MD"/>
              </w:rPr>
            </w:pPr>
          </w:p>
          <w:p w14:paraId="0BC501D1" w14:textId="77777777" w:rsidR="002441BB" w:rsidRPr="00502787" w:rsidRDefault="002441BB" w:rsidP="00502787">
            <w:pPr>
              <w:jc w:val="both"/>
              <w:rPr>
                <w:rFonts w:ascii="Times New Roman" w:hAnsi="Times New Roman" w:cs="Times New Roman"/>
                <w:sz w:val="20"/>
                <w:szCs w:val="20"/>
                <w:lang w:val="ro-MD"/>
              </w:rPr>
            </w:pPr>
          </w:p>
          <w:p w14:paraId="19C6BD1B" w14:textId="77777777" w:rsidR="002441BB" w:rsidRPr="00502787" w:rsidRDefault="002441BB" w:rsidP="00502787">
            <w:pPr>
              <w:jc w:val="both"/>
              <w:rPr>
                <w:rFonts w:ascii="Times New Roman" w:hAnsi="Times New Roman" w:cs="Times New Roman"/>
                <w:sz w:val="20"/>
                <w:szCs w:val="20"/>
                <w:lang w:val="ro-MD"/>
              </w:rPr>
            </w:pPr>
          </w:p>
          <w:p w14:paraId="044085E5" w14:textId="72D2BDC2"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Educației și Cercetării</w:t>
            </w:r>
          </w:p>
          <w:p w14:paraId="3A5D65C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Măsura 6</w:t>
            </w:r>
          </w:p>
          <w:p w14:paraId="2C1656FD" w14:textId="3AEEFB4F"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acceptă</w:t>
            </w:r>
            <w:r w:rsidR="002441BB" w:rsidRPr="00502787">
              <w:rPr>
                <w:rFonts w:ascii="Times New Roman" w:hAnsi="Times New Roman" w:cs="Times New Roman"/>
                <w:sz w:val="20"/>
                <w:szCs w:val="20"/>
                <w:lang w:val="ro-MD"/>
              </w:rPr>
              <w:t xml:space="preserve"> </w:t>
            </w:r>
          </w:p>
          <w:p w14:paraId="7013FDA0"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341AC1AE" w14:textId="77777777">
        <w:trPr>
          <w:trHeight w:val="507"/>
        </w:trPr>
        <w:tc>
          <w:tcPr>
            <w:tcW w:w="556" w:type="dxa"/>
            <w:vMerge/>
          </w:tcPr>
          <w:p w14:paraId="77F3ECB6"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63CCE911"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370443D8" w14:textId="308C1BE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Pilonul 4 </w:t>
            </w:r>
          </w:p>
          <w:p w14:paraId="39AB96A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u w:val="single"/>
                <w:lang w:val="ro-MD"/>
              </w:rPr>
              <w:t>Măsura 10</w:t>
            </w:r>
            <w:r w:rsidRPr="00502787">
              <w:rPr>
                <w:rFonts w:ascii="Times New Roman" w:eastAsiaTheme="minorEastAsia" w:hAnsi="Times New Roman" w:cs="Times New Roman"/>
                <w:sz w:val="20"/>
                <w:szCs w:val="20"/>
                <w:lang w:val="ro-MD"/>
              </w:rPr>
              <w:t xml:space="preserve"> ”Enhanced quality and accessibility of social services meeting minimum standards and population needs” se propune completarea cu:</w:t>
            </w:r>
          </w:p>
          <w:p w14:paraId="06BF4E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The revision of the Regulations should take into account best interest of the beneficiaries, satisfaction and wellbeing. </w:t>
            </w:r>
          </w:p>
          <w:p w14:paraId="13D07404" w14:textId="73BD6090"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 xml:space="preserve">A feedback and response mechanism should be developed and beneficiaries’ opinions reflected in Regulations  </w:t>
            </w:r>
          </w:p>
          <w:p w14:paraId="3EFF898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Comentariu:</w:t>
            </w:r>
            <w:r w:rsidRPr="00502787">
              <w:rPr>
                <w:rFonts w:ascii="Times New Roman" w:hAnsi="Times New Roman" w:cs="Times New Roman"/>
                <w:sz w:val="20"/>
                <w:szCs w:val="20"/>
                <w:lang w:val="ro-MD"/>
              </w:rPr>
              <w:t xml:space="preserve"> </w:t>
            </w:r>
            <w:r w:rsidRPr="00502787">
              <w:rPr>
                <w:rFonts w:ascii="Times New Roman" w:eastAsiaTheme="minorEastAsia" w:hAnsi="Times New Roman" w:cs="Times New Roman"/>
                <w:sz w:val="20"/>
                <w:szCs w:val="20"/>
                <w:lang w:val="ro-MD"/>
              </w:rPr>
              <w:t xml:space="preserve">Clarification: there are at least XXX social services with Regulation and standards developed based on EU/International standards and approved by the Government (in child protection and disability field). </w:t>
            </w:r>
          </w:p>
          <w:p w14:paraId="6C4B01B6" w14:textId="77777777" w:rsidR="00F3660E" w:rsidRPr="00502787" w:rsidRDefault="00F3660E" w:rsidP="00502787">
            <w:pPr>
              <w:jc w:val="both"/>
              <w:rPr>
                <w:rFonts w:ascii="Times New Roman" w:hAnsi="Times New Roman" w:cs="Times New Roman"/>
                <w:sz w:val="20"/>
                <w:szCs w:val="20"/>
                <w:lang w:val="ro-MD"/>
              </w:rPr>
            </w:pPr>
          </w:p>
          <w:p w14:paraId="148D99E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u w:val="single"/>
                <w:lang w:val="ro-MD"/>
              </w:rPr>
              <w:t>După măsura 13</w:t>
            </w:r>
            <w:r w:rsidRPr="00502787">
              <w:rPr>
                <w:rFonts w:ascii="Times New Roman" w:eastAsiaTheme="minorEastAsia" w:hAnsi="Times New Roman" w:cs="Times New Roman"/>
                <w:sz w:val="20"/>
                <w:szCs w:val="20"/>
                <w:lang w:val="ro-MD"/>
              </w:rPr>
              <w:t xml:space="preserve"> se propune completarea cu următorii pași:</w:t>
            </w:r>
          </w:p>
          <w:p w14:paraId="175522D5" w14:textId="77777777" w:rsidR="00F3660E" w:rsidRPr="00502787" w:rsidRDefault="00F3660E" w:rsidP="00502787">
            <w:pPr>
              <w:jc w:val="both"/>
              <w:rPr>
                <w:rFonts w:ascii="Times New Roman" w:hAnsi="Times New Roman" w:cs="Times New Roman"/>
                <w:sz w:val="20"/>
                <w:szCs w:val="20"/>
                <w:lang w:val="ro-MD"/>
              </w:rPr>
            </w:pPr>
          </w:p>
          <w:p w14:paraId="382613E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13.1.Development and approval of the methodology and financial rules for contracting social services from NGOs, private sector. Institution: Social protection. June 2027</w:t>
            </w:r>
          </w:p>
          <w:p w14:paraId="27D66C8C" w14:textId="77777777" w:rsidR="00F3660E" w:rsidRPr="00502787" w:rsidRDefault="00F3660E" w:rsidP="00502787">
            <w:pPr>
              <w:jc w:val="both"/>
              <w:rPr>
                <w:rFonts w:ascii="Times New Roman" w:hAnsi="Times New Roman" w:cs="Times New Roman"/>
                <w:sz w:val="20"/>
                <w:szCs w:val="20"/>
                <w:lang w:val="ro-MD"/>
              </w:rPr>
            </w:pPr>
          </w:p>
          <w:p w14:paraId="680EF25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13.2. Ensuring access for disadvantaged families to parenting education programs and community-based support activities offered through existing services such as family support. </w:t>
            </w:r>
            <w:r w:rsidRPr="00502787">
              <w:rPr>
                <w:rFonts w:ascii="Times New Roman" w:eastAsiaTheme="minorEastAsia" w:hAnsi="Times New Roman" w:cs="Times New Roman"/>
                <w:i/>
                <w:iCs/>
                <w:sz w:val="20"/>
                <w:szCs w:val="20"/>
                <w:lang w:val="ro-MD"/>
              </w:rPr>
              <w:t>Baseline:</w:t>
            </w:r>
            <w:r w:rsidRPr="00502787">
              <w:rPr>
                <w:rFonts w:ascii="Times New Roman" w:eastAsiaTheme="minorEastAsia" w:hAnsi="Times New Roman" w:cs="Times New Roman"/>
                <w:sz w:val="20"/>
                <w:szCs w:val="20"/>
                <w:lang w:val="ro-MD"/>
              </w:rPr>
              <w:t xml:space="preserve"> Council Recommendation (EU) 2021/1004 on the establishment of the European Child Guarantee emphasizes the need to ensure equal access to essential services for children and their families from disadvantaged backgrounds, including early childhood education. Making nurseries and crèches more accessible to children contributes to reducing social inequalities, supports early development and increases their chances of later integration into the education system. The measure responds to the European objectives of combating child poverty and promoting social inclusion by guaranteeing quality early education services for all children, regardless of the socio-economic status of their families. The measure also responds to Recommendation (2006)19 of the Committee of Ministers of the Council of Europe, which emphasizes the need to create conditions facilitating positive parenting. Institution: Ministry of Labour and Social Protection. June 2027</w:t>
            </w:r>
          </w:p>
          <w:p w14:paraId="20744914" w14:textId="77777777" w:rsidR="00F3660E" w:rsidRPr="00502787" w:rsidRDefault="00F3660E" w:rsidP="00502787">
            <w:pPr>
              <w:jc w:val="both"/>
              <w:rPr>
                <w:rFonts w:ascii="Times New Roman" w:hAnsi="Times New Roman" w:cs="Times New Roman"/>
                <w:sz w:val="20"/>
                <w:szCs w:val="20"/>
                <w:lang w:val="ro-MD"/>
              </w:rPr>
            </w:pPr>
          </w:p>
          <w:p w14:paraId="28244A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13.3. Family type and community based Social services for persons with disabilities, including for children (foster care, shared leaving, personal assistant, supported leaving) are developed/extended nationwide to prevent separation and ensure deinstitutionalisation. Institution: Ministry of Labour and Social Protection. June 2027</w:t>
            </w:r>
          </w:p>
          <w:p w14:paraId="135284FB" w14:textId="77777777" w:rsidR="00F3660E" w:rsidRPr="00502787" w:rsidRDefault="00F3660E" w:rsidP="00502787">
            <w:pPr>
              <w:jc w:val="both"/>
              <w:rPr>
                <w:rFonts w:ascii="Times New Roman" w:hAnsi="Times New Roman" w:cs="Times New Roman"/>
                <w:sz w:val="20"/>
                <w:szCs w:val="20"/>
                <w:lang w:val="ro-MD"/>
              </w:rPr>
            </w:pPr>
          </w:p>
          <w:p w14:paraId="5FC43D6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13.4. Creating support and protection programs for children without parental care, including because of migration. </w:t>
            </w:r>
            <w:r w:rsidRPr="00502787">
              <w:rPr>
                <w:rFonts w:ascii="Times New Roman" w:eastAsiaTheme="minorEastAsia" w:hAnsi="Times New Roman" w:cs="Times New Roman"/>
                <w:i/>
                <w:iCs/>
                <w:sz w:val="20"/>
                <w:szCs w:val="20"/>
                <w:lang w:val="ro-MD"/>
              </w:rPr>
              <w:t>Description:</w:t>
            </w:r>
            <w:r w:rsidRPr="00502787">
              <w:rPr>
                <w:rFonts w:ascii="Times New Roman" w:eastAsiaTheme="minorEastAsia" w:hAnsi="Times New Roman" w:cs="Times New Roman"/>
                <w:sz w:val="20"/>
                <w:szCs w:val="20"/>
                <w:lang w:val="ro-MD"/>
              </w:rPr>
              <w:t xml:space="preserve"> Support and protection programs for children affected by migration is urgently needed, given the significant impact of separation from parents or families on their emotional, social and psychological development. Children can become vulnerable to abuse, neglect and social exclusion and these effects can be long-lasting. It is therefore essential that programs are developed and implemented to provide a framework of protection, support and recovery. Institution: Ministry of Labour and Social Protection. June 2027</w:t>
            </w:r>
          </w:p>
          <w:p w14:paraId="0674059D" w14:textId="77777777" w:rsidR="00F3660E" w:rsidRPr="00502787" w:rsidRDefault="00F3660E" w:rsidP="00502787">
            <w:pPr>
              <w:jc w:val="both"/>
              <w:rPr>
                <w:rFonts w:ascii="Times New Roman" w:hAnsi="Times New Roman" w:cs="Times New Roman"/>
                <w:sz w:val="20"/>
                <w:szCs w:val="20"/>
                <w:lang w:val="ro-MD"/>
              </w:rPr>
            </w:pPr>
          </w:p>
          <w:p w14:paraId="2C081B2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13.5. Assistive equipment and technologies are provided to persons with disabilities, including children based on their needs for better inclusion into labor market, education and social life</w:t>
            </w:r>
          </w:p>
          <w:p w14:paraId="4E07373B" w14:textId="77777777" w:rsidR="00F3660E" w:rsidRPr="00502787" w:rsidRDefault="00F3660E" w:rsidP="00502787">
            <w:pPr>
              <w:jc w:val="both"/>
              <w:rPr>
                <w:rFonts w:ascii="Times New Roman" w:hAnsi="Times New Roman" w:cs="Times New Roman"/>
                <w:sz w:val="20"/>
                <w:szCs w:val="20"/>
                <w:lang w:val="ro-MD"/>
              </w:rPr>
            </w:pPr>
          </w:p>
          <w:p w14:paraId="05DEC0E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13.6. Physical infrastructure accessibility of social services improved trough: adapted entrances, toilets, equipment etc. Institution: Ministry of Labour and Social Protection. June 2027</w:t>
            </w:r>
          </w:p>
          <w:p w14:paraId="4D9A4789" w14:textId="77777777" w:rsidR="00F3660E" w:rsidRPr="00502787" w:rsidRDefault="00F3660E" w:rsidP="00502787">
            <w:pPr>
              <w:jc w:val="both"/>
              <w:rPr>
                <w:rFonts w:ascii="Times New Roman" w:hAnsi="Times New Roman" w:cs="Times New Roman"/>
                <w:sz w:val="20"/>
                <w:szCs w:val="20"/>
                <w:lang w:val="ro-MD"/>
              </w:rPr>
            </w:pPr>
          </w:p>
          <w:p w14:paraId="32B73DC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Măsura 16, se propune completarea cu următorul text:  The number of beneficiaries of active labour market measures implemented by the Government is increased by 400% compared to 2024. At least 60% of beneficiaries are women. At least 15% of beneficiaries are persons with disabilities.  </w:t>
            </w:r>
          </w:p>
          <w:p w14:paraId="3AC970BB" w14:textId="77777777" w:rsidR="00F3660E" w:rsidRPr="00502787" w:rsidRDefault="00F3660E" w:rsidP="00502787">
            <w:pPr>
              <w:jc w:val="both"/>
              <w:rPr>
                <w:rFonts w:ascii="Times New Roman" w:hAnsi="Times New Roman" w:cs="Times New Roman"/>
                <w:sz w:val="20"/>
                <w:szCs w:val="20"/>
                <w:lang w:val="ro-MD"/>
              </w:rPr>
            </w:pPr>
          </w:p>
          <w:p w14:paraId="5CF6785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4</w:t>
            </w:r>
          </w:p>
          <w:p w14:paraId="7672B91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u w:val="single"/>
                <w:lang w:val="ro-MD"/>
              </w:rPr>
              <w:t>După măsura 18</w:t>
            </w:r>
            <w:r w:rsidRPr="00502787">
              <w:rPr>
                <w:rFonts w:ascii="Times New Roman" w:eastAsiaTheme="minorEastAsia" w:hAnsi="Times New Roman" w:cs="Times New Roman"/>
                <w:sz w:val="20"/>
                <w:szCs w:val="20"/>
                <w:lang w:val="ro-MD"/>
              </w:rPr>
              <w:t xml:space="preserve">, se propune completarea cu măsură nouă: </w:t>
            </w:r>
          </w:p>
          <w:p w14:paraId="2A33258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18.1. Physical infrastructure accessibility of health services improved trough: adapted entrances, toilets, equipment etc - termen decembrie 2027.</w:t>
            </w:r>
          </w:p>
        </w:tc>
        <w:tc>
          <w:tcPr>
            <w:tcW w:w="4819" w:type="dxa"/>
          </w:tcPr>
          <w:p w14:paraId="0A9106DB" w14:textId="4BC6CF6C" w:rsidR="00F3660E" w:rsidRPr="00502787" w:rsidRDefault="002441BB"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În urma consultărilor cu instituțiile responsabile de reforme, au fost validate și discutate cu Comisia Europeană mai multe propuneri care vizează grupurile defavorizate, inclusiv persoanele cu dizabilități și copiii cu nevoi educaționale speciale. Aceste propuneri au stat la baza modificării finale a Agendei de reformă 2025-2027.</w:t>
            </w:r>
            <w:r w:rsidRPr="00502787">
              <w:rPr>
                <w:rFonts w:ascii="Times New Roman" w:hAnsi="Times New Roman" w:cs="Times New Roman"/>
                <w:sz w:val="20"/>
                <w:szCs w:val="20"/>
                <w:lang w:val="ro-MD"/>
              </w:rPr>
              <w:t xml:space="preserve"> </w:t>
            </w:r>
          </w:p>
          <w:p w14:paraId="78C0A997" w14:textId="77777777" w:rsidR="00F3660E" w:rsidRPr="00502787" w:rsidRDefault="00F3660E" w:rsidP="00502787">
            <w:pPr>
              <w:jc w:val="both"/>
              <w:rPr>
                <w:rFonts w:ascii="Times New Roman" w:hAnsi="Times New Roman" w:cs="Times New Roman"/>
                <w:sz w:val="20"/>
                <w:szCs w:val="20"/>
                <w:lang w:val="ro-MD"/>
              </w:rPr>
            </w:pPr>
          </w:p>
          <w:p w14:paraId="1237023D" w14:textId="77777777" w:rsidR="00F3660E" w:rsidRPr="00502787" w:rsidRDefault="00F3660E" w:rsidP="00502787">
            <w:pPr>
              <w:jc w:val="both"/>
              <w:rPr>
                <w:rFonts w:ascii="Times New Roman" w:hAnsi="Times New Roman" w:cs="Times New Roman"/>
                <w:sz w:val="20"/>
                <w:szCs w:val="20"/>
                <w:lang w:val="ro-MD"/>
              </w:rPr>
            </w:pPr>
          </w:p>
          <w:p w14:paraId="635DA5B7" w14:textId="77777777" w:rsidR="00F3660E" w:rsidRPr="00502787" w:rsidRDefault="00F3660E" w:rsidP="00502787">
            <w:pPr>
              <w:jc w:val="both"/>
              <w:rPr>
                <w:rFonts w:ascii="Times New Roman" w:hAnsi="Times New Roman" w:cs="Times New Roman"/>
                <w:sz w:val="20"/>
                <w:szCs w:val="20"/>
                <w:lang w:val="ro-MD"/>
              </w:rPr>
            </w:pPr>
          </w:p>
          <w:p w14:paraId="1AAB493B" w14:textId="77777777" w:rsidR="00F3660E" w:rsidRPr="00502787" w:rsidRDefault="00F3660E" w:rsidP="00502787">
            <w:pPr>
              <w:jc w:val="both"/>
              <w:rPr>
                <w:rFonts w:ascii="Times New Roman" w:hAnsi="Times New Roman" w:cs="Times New Roman"/>
                <w:sz w:val="20"/>
                <w:szCs w:val="20"/>
                <w:lang w:val="ro-MD"/>
              </w:rPr>
            </w:pPr>
          </w:p>
          <w:p w14:paraId="3825178E" w14:textId="77777777" w:rsidR="00F3660E" w:rsidRPr="00502787" w:rsidRDefault="00F3660E" w:rsidP="00502787">
            <w:pPr>
              <w:jc w:val="both"/>
              <w:rPr>
                <w:rFonts w:ascii="Times New Roman" w:hAnsi="Times New Roman" w:cs="Times New Roman"/>
                <w:sz w:val="20"/>
                <w:szCs w:val="20"/>
                <w:lang w:val="ro-MD"/>
              </w:rPr>
            </w:pPr>
          </w:p>
          <w:p w14:paraId="02056221" w14:textId="77777777" w:rsidR="00F3660E" w:rsidRPr="00502787" w:rsidRDefault="00F3660E" w:rsidP="00502787">
            <w:pPr>
              <w:jc w:val="both"/>
              <w:rPr>
                <w:rFonts w:ascii="Times New Roman" w:hAnsi="Times New Roman" w:cs="Times New Roman"/>
                <w:sz w:val="20"/>
                <w:szCs w:val="20"/>
                <w:lang w:val="ro-MD"/>
              </w:rPr>
            </w:pPr>
          </w:p>
          <w:p w14:paraId="239240AA" w14:textId="77777777" w:rsidR="00F3660E" w:rsidRPr="00502787" w:rsidRDefault="00F3660E" w:rsidP="00502787">
            <w:pPr>
              <w:jc w:val="both"/>
              <w:rPr>
                <w:rFonts w:ascii="Times New Roman" w:hAnsi="Times New Roman" w:cs="Times New Roman"/>
                <w:sz w:val="20"/>
                <w:szCs w:val="20"/>
                <w:lang w:val="ro-MD"/>
              </w:rPr>
            </w:pPr>
          </w:p>
          <w:p w14:paraId="3CC787D6" w14:textId="77777777" w:rsidR="00F3660E" w:rsidRPr="00502787" w:rsidRDefault="00F3660E" w:rsidP="00502787">
            <w:pPr>
              <w:jc w:val="both"/>
              <w:rPr>
                <w:rFonts w:ascii="Times New Roman" w:hAnsi="Times New Roman" w:cs="Times New Roman"/>
                <w:sz w:val="20"/>
                <w:szCs w:val="20"/>
                <w:lang w:val="ro-MD"/>
              </w:rPr>
            </w:pPr>
          </w:p>
          <w:p w14:paraId="4DB2F18F" w14:textId="77777777" w:rsidR="00F3660E" w:rsidRPr="00502787" w:rsidRDefault="00F3660E" w:rsidP="00502787">
            <w:pPr>
              <w:jc w:val="both"/>
              <w:rPr>
                <w:rFonts w:ascii="Times New Roman" w:hAnsi="Times New Roman" w:cs="Times New Roman"/>
                <w:sz w:val="20"/>
                <w:szCs w:val="20"/>
                <w:lang w:val="ro-MD"/>
              </w:rPr>
            </w:pPr>
          </w:p>
          <w:p w14:paraId="64E9EC77" w14:textId="77777777" w:rsidR="00F3660E" w:rsidRPr="00502787" w:rsidRDefault="00F3660E" w:rsidP="00502787">
            <w:pPr>
              <w:jc w:val="both"/>
              <w:rPr>
                <w:rFonts w:ascii="Times New Roman" w:hAnsi="Times New Roman" w:cs="Times New Roman"/>
                <w:sz w:val="20"/>
                <w:szCs w:val="20"/>
                <w:lang w:val="ro-MD"/>
              </w:rPr>
            </w:pPr>
          </w:p>
          <w:p w14:paraId="7D21722F" w14:textId="77777777" w:rsidR="00F3660E" w:rsidRPr="00502787" w:rsidRDefault="00F3660E" w:rsidP="00502787">
            <w:pPr>
              <w:jc w:val="both"/>
              <w:rPr>
                <w:rFonts w:ascii="Times New Roman" w:hAnsi="Times New Roman" w:cs="Times New Roman"/>
                <w:sz w:val="20"/>
                <w:szCs w:val="20"/>
                <w:lang w:val="ro-MD"/>
              </w:rPr>
            </w:pPr>
          </w:p>
          <w:p w14:paraId="072676EE" w14:textId="77777777" w:rsidR="00F3660E" w:rsidRPr="00502787" w:rsidRDefault="00F3660E" w:rsidP="00502787">
            <w:pPr>
              <w:jc w:val="both"/>
              <w:rPr>
                <w:rFonts w:ascii="Times New Roman" w:hAnsi="Times New Roman" w:cs="Times New Roman"/>
                <w:sz w:val="20"/>
                <w:szCs w:val="20"/>
                <w:lang w:val="ro-MD"/>
              </w:rPr>
            </w:pPr>
          </w:p>
          <w:p w14:paraId="69AD33B1" w14:textId="77777777" w:rsidR="00F3660E" w:rsidRPr="00502787" w:rsidRDefault="00F3660E" w:rsidP="00502787">
            <w:pPr>
              <w:jc w:val="both"/>
              <w:rPr>
                <w:rFonts w:ascii="Times New Roman" w:hAnsi="Times New Roman" w:cs="Times New Roman"/>
                <w:sz w:val="20"/>
                <w:szCs w:val="20"/>
                <w:lang w:val="ro-MD"/>
              </w:rPr>
            </w:pPr>
          </w:p>
          <w:p w14:paraId="34A50616" w14:textId="77777777" w:rsidR="00F3660E" w:rsidRPr="00502787" w:rsidRDefault="00F3660E" w:rsidP="00502787">
            <w:pPr>
              <w:jc w:val="both"/>
              <w:rPr>
                <w:rFonts w:ascii="Times New Roman" w:hAnsi="Times New Roman" w:cs="Times New Roman"/>
                <w:sz w:val="20"/>
                <w:szCs w:val="20"/>
                <w:lang w:val="ro-MD"/>
              </w:rPr>
            </w:pPr>
          </w:p>
          <w:p w14:paraId="39E74C57" w14:textId="77777777" w:rsidR="00F3660E" w:rsidRPr="00502787" w:rsidRDefault="00F3660E" w:rsidP="00502787">
            <w:pPr>
              <w:jc w:val="both"/>
              <w:rPr>
                <w:rFonts w:ascii="Times New Roman" w:hAnsi="Times New Roman" w:cs="Times New Roman"/>
                <w:sz w:val="20"/>
                <w:szCs w:val="20"/>
                <w:lang w:val="ro-MD"/>
              </w:rPr>
            </w:pPr>
          </w:p>
          <w:p w14:paraId="796870FB" w14:textId="77777777" w:rsidR="00F3660E" w:rsidRPr="00502787" w:rsidRDefault="00F3660E" w:rsidP="00502787">
            <w:pPr>
              <w:jc w:val="both"/>
              <w:rPr>
                <w:rFonts w:ascii="Times New Roman" w:hAnsi="Times New Roman" w:cs="Times New Roman"/>
                <w:sz w:val="20"/>
                <w:szCs w:val="20"/>
                <w:lang w:val="ro-MD"/>
              </w:rPr>
            </w:pPr>
          </w:p>
          <w:p w14:paraId="36C3430C" w14:textId="77777777" w:rsidR="00F3660E" w:rsidRPr="00502787" w:rsidRDefault="00F3660E" w:rsidP="00502787">
            <w:pPr>
              <w:jc w:val="both"/>
              <w:rPr>
                <w:rFonts w:ascii="Times New Roman" w:hAnsi="Times New Roman" w:cs="Times New Roman"/>
                <w:sz w:val="20"/>
                <w:szCs w:val="20"/>
                <w:lang w:val="ro-MD"/>
              </w:rPr>
            </w:pPr>
          </w:p>
          <w:p w14:paraId="7BEFF28E" w14:textId="77777777" w:rsidR="00F3660E" w:rsidRPr="00502787" w:rsidRDefault="00F3660E" w:rsidP="00502787">
            <w:pPr>
              <w:jc w:val="both"/>
              <w:rPr>
                <w:rFonts w:ascii="Times New Roman" w:hAnsi="Times New Roman" w:cs="Times New Roman"/>
                <w:sz w:val="20"/>
                <w:szCs w:val="20"/>
                <w:lang w:val="ro-MD"/>
              </w:rPr>
            </w:pPr>
          </w:p>
          <w:p w14:paraId="3F393190" w14:textId="77777777" w:rsidR="00F3660E" w:rsidRPr="00502787" w:rsidRDefault="00F3660E" w:rsidP="00502787">
            <w:pPr>
              <w:jc w:val="both"/>
              <w:rPr>
                <w:rFonts w:ascii="Times New Roman" w:hAnsi="Times New Roman" w:cs="Times New Roman"/>
                <w:sz w:val="20"/>
                <w:szCs w:val="20"/>
                <w:lang w:val="ro-MD"/>
              </w:rPr>
            </w:pPr>
          </w:p>
          <w:p w14:paraId="102F4472" w14:textId="77777777" w:rsidR="00F3660E" w:rsidRPr="00502787" w:rsidRDefault="00F3660E" w:rsidP="00502787">
            <w:pPr>
              <w:jc w:val="both"/>
              <w:rPr>
                <w:rFonts w:ascii="Times New Roman" w:hAnsi="Times New Roman" w:cs="Times New Roman"/>
                <w:sz w:val="20"/>
                <w:szCs w:val="20"/>
                <w:lang w:val="ro-MD"/>
              </w:rPr>
            </w:pPr>
          </w:p>
          <w:p w14:paraId="006188CF" w14:textId="77777777" w:rsidR="00F3660E" w:rsidRPr="00502787" w:rsidRDefault="00F3660E" w:rsidP="00502787">
            <w:pPr>
              <w:jc w:val="both"/>
              <w:rPr>
                <w:rFonts w:ascii="Times New Roman" w:hAnsi="Times New Roman" w:cs="Times New Roman"/>
                <w:sz w:val="20"/>
                <w:szCs w:val="20"/>
                <w:lang w:val="ro-MD"/>
              </w:rPr>
            </w:pPr>
          </w:p>
          <w:p w14:paraId="38CA13F0" w14:textId="77777777" w:rsidR="00F3660E" w:rsidRPr="00502787" w:rsidRDefault="00F3660E" w:rsidP="00502787">
            <w:pPr>
              <w:jc w:val="both"/>
              <w:rPr>
                <w:rFonts w:ascii="Times New Roman" w:hAnsi="Times New Roman" w:cs="Times New Roman"/>
                <w:sz w:val="20"/>
                <w:szCs w:val="20"/>
                <w:lang w:val="ro-MD"/>
              </w:rPr>
            </w:pPr>
          </w:p>
          <w:p w14:paraId="3B6BB482" w14:textId="77777777" w:rsidR="00F3660E" w:rsidRPr="00502787" w:rsidRDefault="00F3660E" w:rsidP="00502787">
            <w:pPr>
              <w:jc w:val="both"/>
              <w:rPr>
                <w:rFonts w:ascii="Times New Roman" w:hAnsi="Times New Roman" w:cs="Times New Roman"/>
                <w:sz w:val="20"/>
                <w:szCs w:val="20"/>
                <w:lang w:val="ro-MD"/>
              </w:rPr>
            </w:pPr>
          </w:p>
          <w:p w14:paraId="2DF8AAAE" w14:textId="77777777" w:rsidR="00F3660E" w:rsidRPr="00502787" w:rsidRDefault="00F3660E" w:rsidP="00502787">
            <w:pPr>
              <w:jc w:val="both"/>
              <w:rPr>
                <w:rFonts w:ascii="Times New Roman" w:hAnsi="Times New Roman" w:cs="Times New Roman"/>
                <w:sz w:val="20"/>
                <w:szCs w:val="20"/>
                <w:lang w:val="ro-MD"/>
              </w:rPr>
            </w:pPr>
          </w:p>
          <w:p w14:paraId="37B8ABAE" w14:textId="77777777" w:rsidR="00F3660E" w:rsidRPr="00502787" w:rsidRDefault="00F3660E" w:rsidP="00502787">
            <w:pPr>
              <w:jc w:val="both"/>
              <w:rPr>
                <w:rFonts w:ascii="Times New Roman" w:hAnsi="Times New Roman" w:cs="Times New Roman"/>
                <w:sz w:val="20"/>
                <w:szCs w:val="20"/>
                <w:lang w:val="ro-MD"/>
              </w:rPr>
            </w:pPr>
          </w:p>
          <w:p w14:paraId="429EFD37" w14:textId="77777777" w:rsidR="00F3660E" w:rsidRPr="00502787" w:rsidRDefault="00F3660E" w:rsidP="00502787">
            <w:pPr>
              <w:jc w:val="both"/>
              <w:rPr>
                <w:rFonts w:ascii="Times New Roman" w:hAnsi="Times New Roman" w:cs="Times New Roman"/>
                <w:sz w:val="20"/>
                <w:szCs w:val="20"/>
                <w:lang w:val="ro-MD"/>
              </w:rPr>
            </w:pPr>
          </w:p>
          <w:p w14:paraId="6864FA00" w14:textId="77777777" w:rsidR="00F3660E" w:rsidRPr="00502787" w:rsidRDefault="00F3660E" w:rsidP="00502787">
            <w:pPr>
              <w:jc w:val="both"/>
              <w:rPr>
                <w:rFonts w:ascii="Times New Roman" w:hAnsi="Times New Roman" w:cs="Times New Roman"/>
                <w:sz w:val="20"/>
                <w:szCs w:val="20"/>
                <w:lang w:val="ro-MD"/>
              </w:rPr>
            </w:pPr>
          </w:p>
          <w:p w14:paraId="04D7B5BC" w14:textId="77777777" w:rsidR="00F3660E" w:rsidRPr="00502787" w:rsidRDefault="00F3660E" w:rsidP="00502787">
            <w:pPr>
              <w:jc w:val="both"/>
              <w:rPr>
                <w:rFonts w:ascii="Times New Roman" w:hAnsi="Times New Roman" w:cs="Times New Roman"/>
                <w:sz w:val="20"/>
                <w:szCs w:val="20"/>
                <w:lang w:val="ro-MD"/>
              </w:rPr>
            </w:pPr>
          </w:p>
          <w:p w14:paraId="626397B4" w14:textId="77777777" w:rsidR="00F3660E" w:rsidRPr="00502787" w:rsidRDefault="00F3660E" w:rsidP="00502787">
            <w:pPr>
              <w:jc w:val="both"/>
              <w:rPr>
                <w:rFonts w:ascii="Times New Roman" w:hAnsi="Times New Roman" w:cs="Times New Roman"/>
                <w:sz w:val="20"/>
                <w:szCs w:val="20"/>
                <w:lang w:val="ro-MD"/>
              </w:rPr>
            </w:pPr>
          </w:p>
          <w:p w14:paraId="21BFCD41" w14:textId="77777777" w:rsidR="00F3660E" w:rsidRPr="00502787" w:rsidRDefault="00F3660E" w:rsidP="00502787">
            <w:pPr>
              <w:jc w:val="both"/>
              <w:rPr>
                <w:rFonts w:ascii="Times New Roman" w:hAnsi="Times New Roman" w:cs="Times New Roman"/>
                <w:sz w:val="20"/>
                <w:szCs w:val="20"/>
                <w:lang w:val="ro-MD"/>
              </w:rPr>
            </w:pPr>
          </w:p>
          <w:p w14:paraId="5631E990" w14:textId="77777777" w:rsidR="00F3660E" w:rsidRPr="00502787" w:rsidRDefault="00F3660E" w:rsidP="00502787">
            <w:pPr>
              <w:jc w:val="both"/>
              <w:rPr>
                <w:rFonts w:ascii="Times New Roman" w:hAnsi="Times New Roman" w:cs="Times New Roman"/>
                <w:sz w:val="20"/>
                <w:szCs w:val="20"/>
                <w:lang w:val="ro-MD"/>
              </w:rPr>
            </w:pPr>
          </w:p>
          <w:p w14:paraId="53DA26EF" w14:textId="77777777" w:rsidR="00F3660E" w:rsidRPr="00502787" w:rsidRDefault="00F3660E" w:rsidP="00502787">
            <w:pPr>
              <w:jc w:val="both"/>
              <w:rPr>
                <w:rFonts w:ascii="Times New Roman" w:hAnsi="Times New Roman" w:cs="Times New Roman"/>
                <w:sz w:val="20"/>
                <w:szCs w:val="20"/>
                <w:lang w:val="ro-MD"/>
              </w:rPr>
            </w:pPr>
          </w:p>
          <w:p w14:paraId="73146EB2" w14:textId="77777777" w:rsidR="00F3660E" w:rsidRPr="00502787" w:rsidRDefault="00F3660E" w:rsidP="00502787">
            <w:pPr>
              <w:jc w:val="both"/>
              <w:rPr>
                <w:rFonts w:ascii="Times New Roman" w:hAnsi="Times New Roman" w:cs="Times New Roman"/>
                <w:sz w:val="20"/>
                <w:szCs w:val="20"/>
                <w:lang w:val="ro-MD"/>
              </w:rPr>
            </w:pPr>
          </w:p>
          <w:p w14:paraId="71E794A1" w14:textId="77777777" w:rsidR="00F3660E" w:rsidRPr="00502787" w:rsidRDefault="00F3660E" w:rsidP="00502787">
            <w:pPr>
              <w:jc w:val="both"/>
              <w:rPr>
                <w:rFonts w:ascii="Times New Roman" w:hAnsi="Times New Roman" w:cs="Times New Roman"/>
                <w:sz w:val="20"/>
                <w:szCs w:val="20"/>
                <w:lang w:val="ro-MD"/>
              </w:rPr>
            </w:pPr>
          </w:p>
          <w:p w14:paraId="5C3DC8F7" w14:textId="77777777" w:rsidR="00F3660E" w:rsidRPr="00502787" w:rsidRDefault="00F3660E" w:rsidP="00502787">
            <w:pPr>
              <w:jc w:val="both"/>
              <w:rPr>
                <w:rFonts w:ascii="Times New Roman" w:hAnsi="Times New Roman" w:cs="Times New Roman"/>
                <w:sz w:val="20"/>
                <w:szCs w:val="20"/>
                <w:lang w:val="ro-MD"/>
              </w:rPr>
            </w:pPr>
          </w:p>
          <w:p w14:paraId="68B755AC" w14:textId="12B7FB5B"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Ministerul Sănătății</w:t>
            </w:r>
          </w:p>
          <w:p w14:paraId="5C5E98D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Propunerea referitoare la îmbunătățirea accesibilității infrastructurii fizice a serviciilor de sănătate (prin adaptarea intrărilor, toaletelor, echipamentelor etc.) nu reprezintă, în sine, o măsură de reformă structurală, ci mai degrabă o intervenție punctuală de natură operațională sau investițională. Agenda de reforme vizează acțiuni transformative, cu impact sistemic, orientate spre </w:t>
            </w:r>
            <w:r w:rsidRPr="00502787">
              <w:rPr>
                <w:rFonts w:ascii="Times New Roman" w:hAnsi="Times New Roman" w:cs="Times New Roman"/>
                <w:sz w:val="20"/>
                <w:szCs w:val="20"/>
                <w:lang w:val="ro-MD"/>
              </w:rPr>
              <w:lastRenderedPageBreak/>
              <w:t>modernizarea și eficientizarea sectorului de sănătate, în concordanță cu obiectivele de integrare europeană. Totodată, aspectele ce țin de accesibilitatea fizică a infrastructurii sunt abordate și reglementate în cadrul altor programe de investiții sectoriale.</w:t>
            </w:r>
          </w:p>
        </w:tc>
      </w:tr>
      <w:tr w:rsidR="0024020C" w:rsidRPr="00502787" w14:paraId="07E50087" w14:textId="77777777">
        <w:trPr>
          <w:trHeight w:val="562"/>
        </w:trPr>
        <w:tc>
          <w:tcPr>
            <w:tcW w:w="556" w:type="dxa"/>
            <w:vMerge/>
          </w:tcPr>
          <w:p w14:paraId="01850BED"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68274329"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4548615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7</w:t>
            </w:r>
          </w:p>
          <w:p w14:paraId="04CB766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După măsura 13 completarea cu următorii pași:</w:t>
            </w:r>
          </w:p>
          <w:p w14:paraId="0C8992C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De-institutionalize all children and ensure their right to live in a family.</w:t>
            </w:r>
          </w:p>
          <w:p w14:paraId="14CFA0F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Institution: Ministry of Labour and Social Protection. December 2027. </w:t>
            </w:r>
          </w:p>
          <w:p w14:paraId="7C5F466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Description:</w:t>
            </w:r>
            <w:r w:rsidRPr="00502787">
              <w:rPr>
                <w:rFonts w:ascii="Times New Roman" w:hAnsi="Times New Roman" w:cs="Times New Roman"/>
                <w:sz w:val="20"/>
                <w:szCs w:val="20"/>
                <w:lang w:val="ro-MD"/>
              </w:rPr>
              <w:t xml:space="preserve"> </w:t>
            </w:r>
            <w:r w:rsidRPr="00502787">
              <w:rPr>
                <w:rFonts w:ascii="Times New Roman" w:eastAsiaTheme="minorEastAsia" w:hAnsi="Times New Roman" w:cs="Times New Roman"/>
                <w:sz w:val="20"/>
                <w:szCs w:val="20"/>
                <w:lang w:val="ro-MD"/>
              </w:rPr>
              <w:t>Institutionalization of children under 3 years of age has significant negative effects on their cognitive, emotional and social development, creating major risks of developmental delay and poor attachment. Family-type care provides a stable environment that is favorable to early development. The establishment of a moratorium is essential to protect children's rights and to develop sustainable alternative care solutions in line with international child protection standards. The process of deinstitutionalization must continue in line with the recommendations of the European Commission in 2022 on Moldova's accession to the European Union. It is crucial to ensure that all children benefit from the right to a family environment, thus avoiding the long-term effects of institutionalization, such as significant developmental delays, disabilities, long-term psychological trauma and serious health problems.</w:t>
            </w:r>
          </w:p>
          <w:p w14:paraId="6E1C9E0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Development and implementation of national programs to strengthen the participation of children, adolescents and youth in decision-making at different levels. </w:t>
            </w:r>
          </w:p>
          <w:p w14:paraId="5AE67C6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Institution: Ministry of Labour and Social Protection. December 2027. </w:t>
            </w:r>
          </w:p>
          <w:p w14:paraId="573E845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Description:</w:t>
            </w:r>
            <w:r w:rsidRPr="00502787">
              <w:rPr>
                <w:rFonts w:ascii="Times New Roman" w:eastAsiaTheme="minorEastAsia" w:hAnsi="Times New Roman" w:cs="Times New Roman"/>
                <w:sz w:val="20"/>
                <w:szCs w:val="20"/>
                <w:lang w:val="ro-MD"/>
              </w:rPr>
              <w:t xml:space="preserve"> Prioritizing the participation of children and young people in all decisions that affect their lives is essential and reflects the short and long term priorities of the EU-Republic of Moldova Association Agenda 2021-2027, under Area I - Democracy, Human Rights and Good Governance, sub-item 7, dedicated to the Rights of the Child. The integration and application of the principle of child </w:t>
            </w:r>
            <w:r w:rsidRPr="00502787">
              <w:rPr>
                <w:rFonts w:ascii="Times New Roman" w:eastAsiaTheme="minorEastAsia" w:hAnsi="Times New Roman" w:cs="Times New Roman"/>
                <w:sz w:val="20"/>
                <w:szCs w:val="20"/>
                <w:lang w:val="ro-MD"/>
              </w:rPr>
              <w:lastRenderedPageBreak/>
              <w:t>participation in all decision-making processes affecting the child should be supported through the development of national programs in all sectors interacting with children that integrate specific guidance for professionals, training programs, participation platforms.</w:t>
            </w:r>
          </w:p>
        </w:tc>
        <w:tc>
          <w:tcPr>
            <w:tcW w:w="4819" w:type="dxa"/>
          </w:tcPr>
          <w:p w14:paraId="14687F3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Muncii și Protecției sociale </w:t>
            </w:r>
          </w:p>
        </w:tc>
      </w:tr>
      <w:tr w:rsidR="0024020C" w:rsidRPr="00502787" w14:paraId="59FE926A" w14:textId="77777777">
        <w:trPr>
          <w:trHeight w:val="562"/>
        </w:trPr>
        <w:tc>
          <w:tcPr>
            <w:tcW w:w="556" w:type="dxa"/>
          </w:tcPr>
          <w:p w14:paraId="775200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3.</w:t>
            </w:r>
          </w:p>
        </w:tc>
        <w:tc>
          <w:tcPr>
            <w:tcW w:w="2278" w:type="dxa"/>
          </w:tcPr>
          <w:p w14:paraId="1FECF6D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Elena Bolocan</w:t>
            </w:r>
          </w:p>
          <w:p w14:paraId="60C5B40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Consultant în politici sustenabile și de integrare europeană</w:t>
            </w:r>
          </w:p>
          <w:p w14:paraId="1B982CF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MSc Public Policy, specialised in Circular Economy </w:t>
            </w:r>
          </w:p>
          <w:p w14:paraId="61A3537E" w14:textId="77777777" w:rsidR="00F3660E"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United Nations University</w:t>
            </w:r>
          </w:p>
          <w:p w14:paraId="3800B619" w14:textId="255BA749" w:rsidR="000913F8" w:rsidRPr="000913F8" w:rsidRDefault="000913F8" w:rsidP="000913F8">
            <w:pPr>
              <w:rPr>
                <w:rFonts w:ascii="Times New Roman" w:hAnsi="Times New Roman" w:cs="Times New Roman"/>
                <w:i/>
                <w:sz w:val="20"/>
                <w:szCs w:val="20"/>
                <w:lang w:val="ro-MD"/>
              </w:rPr>
            </w:pPr>
            <w:r w:rsidRPr="000913F8">
              <w:rPr>
                <w:rFonts w:ascii="Times New Roman" w:hAnsi="Times New Roman" w:cs="Times New Roman"/>
                <w:i/>
                <w:sz w:val="20"/>
                <w:szCs w:val="20"/>
                <w:lang w:val="ro-MD"/>
              </w:rPr>
              <w:t>(propunere parvenită la data de 25.03.2025</w:t>
            </w:r>
            <w:r>
              <w:rPr>
                <w:rFonts w:ascii="Times New Roman" w:hAnsi="Times New Roman" w:cs="Times New Roman"/>
                <w:i/>
                <w:sz w:val="20"/>
                <w:szCs w:val="20"/>
                <w:lang w:val="ro-MD"/>
              </w:rPr>
              <w:t xml:space="preserve"> prin intermediul </w:t>
            </w:r>
            <w:r w:rsidRPr="000913F8">
              <w:rPr>
                <w:rFonts w:ascii="Times New Roman" w:hAnsi="Times New Roman" w:cs="Times New Roman"/>
                <w:i/>
                <w:sz w:val="20"/>
                <w:szCs w:val="20"/>
                <w:lang w:val="ro-MD"/>
              </w:rPr>
              <w:t>poștei electronice)</w:t>
            </w:r>
          </w:p>
        </w:tc>
        <w:tc>
          <w:tcPr>
            <w:tcW w:w="6661" w:type="dxa"/>
          </w:tcPr>
          <w:p w14:paraId="0E56BEC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Gestionarea deșeurilor</w:t>
            </w:r>
          </w:p>
          <w:p w14:paraId="30E21FD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Planul propus în acest domeniu este binevenit, însă nu oferă soluții concrete accesibile direct publicului. O mai bună organizare a infrastructurii de colectare și reciclare este esențială pentru creșterea ratei de reciclare și reducerea poluării.</w:t>
            </w:r>
          </w:p>
          <w:p w14:paraId="6DEBD6B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Este necesar ca fiecare APL să fie dotată cu un set complet de colectare separată pentru deșeurile din plastic, hârtie, metal, biodegradabile, de construcții și cele periculoase (deșeuri medicale, baterii, produse toxice folosite în construcții etc.):</w:t>
            </w:r>
          </w:p>
          <w:p w14:paraId="0B98138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Deșeurile biodegradabile (resturi alimentare, frunze, crengi) pot fi gestionate pe loc prin stații locale de compostare, care să deservească mai multe localități. Compostul rezultat poate fi utilizat în agricultură și spații verzi.</w:t>
            </w:r>
          </w:p>
          <w:p w14:paraId="6430EF3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Plasticul, metalul și hârtia colectate de autorități pot fi preluate și procesate de companii private precum ABS Recycling și Moldrec, prin contracte regionale clare, evitând astfel stocarea inutilă în gropi de gunoi neautorizate.</w:t>
            </w:r>
          </w:p>
          <w:p w14:paraId="4454EE8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Deșeurile de construcții pot fi gestionate prin centre locale de reciclare, unde materialele refolosibile (cărămizi, beton, lemn) sunt transformate în agregate pentru infrastructură sau reconstrucție. În acest sens companiile de construcții ar putea fi motivate să le colecteze/reutilizeze.</w:t>
            </w:r>
          </w:p>
          <w:p w14:paraId="094FDF6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Deșeurile periculoase (baterii, becuri, electronice, medicamente expirate) necesită un sistem eficient de colectare și transport spre unități specializate. În acest sens, se poate colabora cu rețelele de retail și farmaciile pentru puncte de colectare sigure.</w:t>
            </w:r>
          </w:p>
          <w:p w14:paraId="583A3FE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Până la finalizarea acestui plan de creștere, ar trebui să fie deja funcționale primele stații regionale de reciclare, iar populația deja va fi pregătită pentru a participa activ la procesul de reciclare.</w:t>
            </w:r>
          </w:p>
          <w:p w14:paraId="4DB206F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Se recomandă capacitarea operatorilor precum ABS Recycling și Moldrec în mai multe regiuni ale țării pentru a procesa eficient deșeurile produse de fiecare localitate din RM.</w:t>
            </w:r>
          </w:p>
          <w:p w14:paraId="41C2E6B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Tranziția verde</w:t>
            </w:r>
          </w:p>
          <w:p w14:paraId="6D1A976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Este regretabil că acest subdomeniu este abordat atât de modest, deși este unul care ne afectează zilnic, mai ales având în vedere problemele grave de mediu din țară: poluarea apei, râuri secate, nivel ridicat de poluare a aerului. Conform datelor colectate de Laboratorul de calitate a aerului al Agenției de Mediu, la Chișinău se înregistrează o creștere treptată a numărului de zile în care se depășesc limitele stabilite de poluanți în atmosferă. În perioada 2003-2018, au fost înregistrate de la 79 la 266 de zile pe an de depășire a acestor limite, respectiv tranziția verde ar trebui să fie o prioritate mai ambițioasă.</w:t>
            </w:r>
          </w:p>
          <w:p w14:paraId="30304E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Facilități fiscale pentru întreprinderile care reciclează și care reintroduc materiale în lanțul economic, precum și pentru companiile care dezvoltă ambalaje </w:t>
            </w:r>
            <w:r w:rsidRPr="00502787">
              <w:rPr>
                <w:rFonts w:ascii="Times New Roman" w:eastAsiaTheme="minorEastAsia" w:hAnsi="Times New Roman" w:cs="Times New Roman"/>
                <w:sz w:val="20"/>
                <w:szCs w:val="20"/>
                <w:lang w:val="ro-MD"/>
              </w:rPr>
              <w:lastRenderedPageBreak/>
              <w:t>reciclabile sau compostabile (modul in care funcționeaza acum REP arată mai mult a greenwashing).</w:t>
            </w:r>
          </w:p>
          <w:p w14:paraId="4847E6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Se recomandă măsuri mai stricte pentru reducerea poluării industriale și implementarea unui sistem de stimulente pentru companiile care adoptă practici ecologice. Astfel impulsionarea raportării ESG după indicatorii GRI (sau indicatorii adoptați de UE in 2023) va oferi o imagine clară despre cele mai poluante companii din RM, în același timp motivâ-i să adopte practici sustenabile. Un exemplu in acest sens este Kaufland, care în anul 2024 a publicat un raport similar ESG.</w:t>
            </w:r>
          </w:p>
        </w:tc>
        <w:tc>
          <w:tcPr>
            <w:tcW w:w="4819" w:type="dxa"/>
          </w:tcPr>
          <w:p w14:paraId="096A00F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Mediului</w:t>
            </w:r>
          </w:p>
          <w:p w14:paraId="42B32C4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1.Propunerea este relevantă, dar nu se acceptă a fi inclusă în Agenda de reforme, deoarece ea se regăsește deja în partea investițională a Growth Plan, ținând cont că se referă la investiții în infrastructura de gestionare a deșeurilor. Proiectul „Deșeuri solide în RM” a început să fie implementat și prevede crearea unui sistem regional consolidat de gestionare a deșeurilor solide în 6 regiuni de management al deșeurilor din cadrul Strategiei de gestionare a deșeurilor, care cuprinde întreg teritoriu al țării: </w:t>
            </w:r>
          </w:p>
          <w:p w14:paraId="6EB6EDB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1 – Cahul, Cantemir, Taraclia, Ceadâr-Lunga, Vulcănești și Comrat;</w:t>
            </w:r>
          </w:p>
          <w:p w14:paraId="7AC9A53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2 – Leova, Cimișlia, Basarabeasca, Căușeni și Ștefan Vodă;</w:t>
            </w:r>
          </w:p>
          <w:p w14:paraId="24D35FC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4 – mun. Chișinău, Strășeni, Ialoveni, Hâncești, Criuleni, Cocieri, Anenii Noi și Orhei;</w:t>
            </w:r>
          </w:p>
          <w:p w14:paraId="5C0E55C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5 – Ungheni, Nisporeni, Călărași;</w:t>
            </w:r>
          </w:p>
          <w:p w14:paraId="2CFE3A4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7 – mun. Bălți, Drochia, Râșcani, Glodeni, Florești, Fălești, Sângerei, Soroca, Șoldănești, Rezina și Telenești;</w:t>
            </w:r>
          </w:p>
          <w:p w14:paraId="300F182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8 – Briceni, Ocnița, Edineț și Dondușeni.</w:t>
            </w:r>
          </w:p>
          <w:p w14:paraId="4E1E5FE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Activitățile presupun achiziționarea de active pentru colectarea și transferul deșeurilor (containere pentru deșeuri și vehicule de colectare), construcția de infrastructură de eliminare și tratare a deșeurilor solide (depozite regionale de deșeuri, stații de transfer, instalații de sortare și centre de reciclare și management ecologic a deșeurilor) suport pentru închiderea depozitelor de deșeuri neconforme și a multor depozite de deșeuri neautorizate existente. Ptoiectul este finanțat în cadrul unor Acorduri de împrumut cu BEI și BERD și urmează a fi finalizat în toate 6 regiuni către anul 2030.</w:t>
            </w:r>
          </w:p>
          <w:p w14:paraId="7E5191DB" w14:textId="77777777" w:rsidR="00F3660E" w:rsidRPr="00502787" w:rsidRDefault="00F3660E" w:rsidP="00502787">
            <w:pPr>
              <w:jc w:val="both"/>
              <w:rPr>
                <w:rFonts w:ascii="Times New Roman" w:hAnsi="Times New Roman" w:cs="Times New Roman"/>
                <w:sz w:val="20"/>
                <w:szCs w:val="20"/>
                <w:lang w:val="ro-MD"/>
              </w:rPr>
            </w:pPr>
          </w:p>
          <w:p w14:paraId="1A556B3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2. Propunerea este relevantă, dar și ea se regăsește deja în Agenda de Reforme. Noul sistem de taxe și plăți pentru poluarea mediului, care se planifică a fi stabilit prin noua Lege privind plățile pentru poluare și taxele pentru utilizarea resurselor naturale, și noul sistem răspundere a </w:t>
            </w:r>
            <w:r w:rsidRPr="00502787">
              <w:rPr>
                <w:rFonts w:ascii="Times New Roman" w:hAnsi="Times New Roman" w:cs="Times New Roman"/>
                <w:sz w:val="20"/>
                <w:szCs w:val="20"/>
                <w:lang w:val="ro-MD"/>
              </w:rPr>
              <w:lastRenderedPageBreak/>
              <w:t xml:space="preserve">companiilor pentru neconformarea cerințelor de mediu care va fi stabilit prin noua Lege cu privire la răspunderea de mediu, vor stabili </w:t>
            </w:r>
            <w:r w:rsidRPr="00502787">
              <w:rPr>
                <w:rFonts w:ascii="Times New Roman" w:eastAsiaTheme="minorEastAsia" w:hAnsi="Times New Roman" w:cs="Times New Roman"/>
                <w:sz w:val="20"/>
                <w:szCs w:val="20"/>
                <w:lang w:val="ro-MD"/>
              </w:rPr>
              <w:t>reglementări mai dure și obligațiuni pentru companii pentru reducerea poluării industriale. De asemenea va fi luat în calcul  și implementarea unui sistem de stimulente pentru companiile care adoptă practici ecologice măsuri mai stricte pentru reducerea poluării industriale sau poate chir și careva scheme de ajutor de stat pentru a ajuta companiile să utilizeze tehnologii noi, non-poluante și alte practici verzi.</w:t>
            </w:r>
          </w:p>
        </w:tc>
      </w:tr>
      <w:tr w:rsidR="0024020C" w:rsidRPr="00502787" w14:paraId="3AF12956" w14:textId="77777777">
        <w:trPr>
          <w:trHeight w:val="562"/>
        </w:trPr>
        <w:tc>
          <w:tcPr>
            <w:tcW w:w="556" w:type="dxa"/>
          </w:tcPr>
          <w:p w14:paraId="1643D54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4.</w:t>
            </w:r>
          </w:p>
        </w:tc>
        <w:tc>
          <w:tcPr>
            <w:tcW w:w="2278" w:type="dxa"/>
          </w:tcPr>
          <w:p w14:paraId="43591C45" w14:textId="6EBEEFD8" w:rsidR="00F3660E" w:rsidRPr="00502787" w:rsidRDefault="00502787"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Confederația </w:t>
            </w:r>
            <w:r w:rsidRPr="00502787">
              <w:rPr>
                <w:rFonts w:ascii="Times New Roman" w:hAnsi="Times New Roman" w:cs="Times New Roman"/>
                <w:spacing w:val="54"/>
                <w:sz w:val="20"/>
                <w:szCs w:val="20"/>
                <w:lang w:val="ro-MD"/>
              </w:rPr>
              <w:t xml:space="preserve"> </w:t>
            </w:r>
            <w:r>
              <w:rPr>
                <w:rFonts w:ascii="Times New Roman" w:hAnsi="Times New Roman" w:cs="Times New Roman"/>
                <w:sz w:val="20"/>
                <w:szCs w:val="20"/>
                <w:lang w:val="ro-MD"/>
              </w:rPr>
              <w:t>N</w:t>
            </w:r>
            <w:r w:rsidRPr="00502787">
              <w:rPr>
                <w:rFonts w:ascii="Times New Roman" w:hAnsi="Times New Roman" w:cs="Times New Roman"/>
                <w:sz w:val="20"/>
                <w:szCs w:val="20"/>
                <w:lang w:val="ro-MD"/>
              </w:rPr>
              <w:t>ațională</w:t>
            </w:r>
          </w:p>
          <w:p w14:paraId="0BEAB5C4" w14:textId="77777777" w:rsidR="00D51751" w:rsidRDefault="00502787" w:rsidP="00502787">
            <w:pPr>
              <w:jc w:val="both"/>
              <w:rPr>
                <w:rFonts w:ascii="Times New Roman" w:hAnsi="Times New Roman" w:cs="Times New Roman"/>
                <w:sz w:val="20"/>
                <w:szCs w:val="20"/>
                <w:lang w:val="ro-MD"/>
              </w:rPr>
            </w:pPr>
            <w:r>
              <w:rPr>
                <w:rFonts w:ascii="Times New Roman" w:hAnsi="Times New Roman" w:cs="Times New Roman"/>
                <w:sz w:val="20"/>
                <w:szCs w:val="20"/>
                <w:lang w:val="ro-MD"/>
              </w:rPr>
              <w:t>a</w:t>
            </w:r>
            <w:r w:rsidRPr="00502787">
              <w:rPr>
                <w:rFonts w:ascii="Times New Roman" w:hAnsi="Times New Roman" w:cs="Times New Roman"/>
                <w:spacing w:val="23"/>
                <w:sz w:val="20"/>
                <w:szCs w:val="20"/>
                <w:lang w:val="ro-MD"/>
              </w:rPr>
              <w:t xml:space="preserve"> </w:t>
            </w:r>
            <w:r>
              <w:rPr>
                <w:rFonts w:ascii="Times New Roman" w:hAnsi="Times New Roman" w:cs="Times New Roman"/>
                <w:sz w:val="20"/>
                <w:szCs w:val="20"/>
                <w:lang w:val="ro-MD"/>
              </w:rPr>
              <w:t>S</w:t>
            </w:r>
            <w:r w:rsidRPr="00502787">
              <w:rPr>
                <w:rFonts w:ascii="Times New Roman" w:hAnsi="Times New Roman" w:cs="Times New Roman"/>
                <w:sz w:val="20"/>
                <w:szCs w:val="20"/>
                <w:lang w:val="ro-MD"/>
              </w:rPr>
              <w:t>indicatelor</w:t>
            </w:r>
            <w:r w:rsidRPr="00502787">
              <w:rPr>
                <w:rFonts w:ascii="Times New Roman" w:hAnsi="Times New Roman" w:cs="Times New Roman"/>
                <w:spacing w:val="29"/>
                <w:sz w:val="20"/>
                <w:szCs w:val="20"/>
                <w:lang w:val="ro-MD"/>
              </w:rPr>
              <w:t xml:space="preserve"> </w:t>
            </w:r>
            <w:r w:rsidRPr="00502787">
              <w:rPr>
                <w:rFonts w:ascii="Times New Roman" w:hAnsi="Times New Roman" w:cs="Times New Roman"/>
                <w:sz w:val="20"/>
                <w:szCs w:val="20"/>
                <w:lang w:val="ro-MD"/>
              </w:rPr>
              <w:t>din</w:t>
            </w:r>
            <w:r w:rsidRPr="00502787">
              <w:rPr>
                <w:rFonts w:ascii="Times New Roman" w:hAnsi="Times New Roman" w:cs="Times New Roman"/>
                <w:spacing w:val="28"/>
                <w:sz w:val="20"/>
                <w:szCs w:val="20"/>
                <w:lang w:val="ro-MD"/>
              </w:rPr>
              <w:t xml:space="preserve"> </w:t>
            </w:r>
            <w:r>
              <w:rPr>
                <w:rFonts w:ascii="Times New Roman" w:hAnsi="Times New Roman" w:cs="Times New Roman"/>
                <w:sz w:val="20"/>
                <w:szCs w:val="20"/>
                <w:lang w:val="ro-MD"/>
              </w:rPr>
              <w:t>M</w:t>
            </w:r>
            <w:r w:rsidRPr="00502787">
              <w:rPr>
                <w:rFonts w:ascii="Times New Roman" w:hAnsi="Times New Roman" w:cs="Times New Roman"/>
                <w:sz w:val="20"/>
                <w:szCs w:val="20"/>
                <w:lang w:val="ro-MD"/>
              </w:rPr>
              <w:t>oldova</w:t>
            </w:r>
            <w:r>
              <w:rPr>
                <w:rFonts w:ascii="Times New Roman" w:hAnsi="Times New Roman" w:cs="Times New Roman"/>
                <w:sz w:val="20"/>
                <w:szCs w:val="20"/>
                <w:lang w:val="ro-MD"/>
              </w:rPr>
              <w:t xml:space="preserve"> </w:t>
            </w:r>
          </w:p>
          <w:p w14:paraId="4C9E4DFF" w14:textId="464BDA92" w:rsidR="00F3660E" w:rsidRPr="00502787" w:rsidRDefault="00502787" w:rsidP="00502787">
            <w:pPr>
              <w:jc w:val="both"/>
              <w:rPr>
                <w:rFonts w:ascii="Times New Roman" w:hAnsi="Times New Roman" w:cs="Times New Roman"/>
                <w:sz w:val="20"/>
                <w:szCs w:val="20"/>
                <w:lang w:val="ro-MD"/>
              </w:rPr>
            </w:pPr>
            <w:r w:rsidRPr="000913F8">
              <w:rPr>
                <w:rFonts w:ascii="Times New Roman" w:hAnsi="Times New Roman" w:cs="Times New Roman"/>
                <w:i/>
                <w:sz w:val="20"/>
                <w:szCs w:val="20"/>
                <w:lang w:val="ro-MD"/>
              </w:rPr>
              <w:t>(nr. 03-02/246 din 20.03.2025)</w:t>
            </w:r>
          </w:p>
          <w:p w14:paraId="7022FBB0" w14:textId="77777777" w:rsidR="00F3660E" w:rsidRPr="00502787" w:rsidRDefault="00F3660E" w:rsidP="00502787">
            <w:pPr>
              <w:jc w:val="both"/>
              <w:rPr>
                <w:rFonts w:ascii="Times New Roman" w:hAnsi="Times New Roman" w:cs="Times New Roman"/>
                <w:sz w:val="20"/>
                <w:szCs w:val="20"/>
                <w:lang w:val="ro-MD"/>
              </w:rPr>
            </w:pPr>
          </w:p>
        </w:tc>
        <w:tc>
          <w:tcPr>
            <w:tcW w:w="6661" w:type="dxa"/>
          </w:tcPr>
          <w:p w14:paraId="091E76C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Consideram necesar ca la domeniul de reforma ,,Angajarea in piața muncii" să fie inclusă ca măsura ,,Crearea Registrului electronic al salariaților", care sa fie aplicabil, inclusiv pentru sectorul real al economiei.</w:t>
            </w:r>
          </w:p>
          <w:p w14:paraId="70BFF3E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Crearea sistemului electronic de evidență al salariaților a fost conceput cu mult timp în urmă, ca urmare a excluderii sistemului de evidență al salariaților în baza carnetului de muncă. Sistemul este actual din punct de vedere al digitalizării proceselor de interacțiune cu instituțiile statului, necesitatea asigurării unei conexiuni între diferite sisteme ce vizează salariații (asigurările sociale, medicale de impozitare ș.a.) și, nu in ultimul rând, un mecanism de contracarare a muncii nedeclarate și a plății salariilor ,,în plic".</w:t>
            </w:r>
          </w:p>
        </w:tc>
        <w:tc>
          <w:tcPr>
            <w:tcW w:w="4819" w:type="dxa"/>
          </w:tcPr>
          <w:p w14:paraId="0ECFDD2C" w14:textId="77777777" w:rsidR="00F3660E" w:rsidRPr="00502787" w:rsidRDefault="00480C4A" w:rsidP="00502787">
            <w:pPr>
              <w:jc w:val="both"/>
              <w:rPr>
                <w:rFonts w:ascii="Times New Roman" w:eastAsiaTheme="minorEastAsia" w:hAnsi="Times New Roman" w:cs="Times New Roman"/>
                <w:sz w:val="20"/>
                <w:szCs w:val="20"/>
                <w:lang w:val="ro-MD"/>
              </w:rPr>
            </w:pPr>
            <w:r w:rsidRPr="00502787">
              <w:rPr>
                <w:rFonts w:ascii="Times New Roman" w:eastAsiaTheme="minorEastAsia" w:hAnsi="Times New Roman" w:cs="Times New Roman"/>
                <w:sz w:val="20"/>
                <w:szCs w:val="20"/>
                <w:lang w:val="ro-MD"/>
              </w:rPr>
              <w:t>Ministerul Muncii și Protecției Sociale</w:t>
            </w:r>
          </w:p>
          <w:p w14:paraId="0EFDD56B" w14:textId="33E3EA98" w:rsidR="002441BB" w:rsidRPr="00502787" w:rsidRDefault="002441BB"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Se ia act pentru elaborarea politicilor pe domeniu ulterioare </w:t>
            </w:r>
          </w:p>
        </w:tc>
      </w:tr>
      <w:tr w:rsidR="0024020C" w:rsidRPr="00502787" w14:paraId="0B61EB32" w14:textId="77777777">
        <w:trPr>
          <w:trHeight w:val="562"/>
        </w:trPr>
        <w:tc>
          <w:tcPr>
            <w:tcW w:w="556" w:type="dxa"/>
          </w:tcPr>
          <w:p w14:paraId="50CB9C5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5.</w:t>
            </w:r>
          </w:p>
        </w:tc>
        <w:tc>
          <w:tcPr>
            <w:tcW w:w="2278" w:type="dxa"/>
          </w:tcPr>
          <w:p w14:paraId="0D99433D" w14:textId="77777777" w:rsidR="00F3660E"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Academia de Studii Economice din Moldova </w:t>
            </w:r>
          </w:p>
          <w:p w14:paraId="2E387B43" w14:textId="4BB525F2" w:rsidR="000913F8" w:rsidRPr="000913F8" w:rsidRDefault="000913F8" w:rsidP="000913F8">
            <w:pPr>
              <w:rPr>
                <w:rFonts w:ascii="Times New Roman" w:hAnsi="Times New Roman" w:cs="Times New Roman"/>
                <w:i/>
                <w:sz w:val="20"/>
                <w:szCs w:val="20"/>
                <w:lang w:val="ro-MD"/>
              </w:rPr>
            </w:pPr>
            <w:r w:rsidRPr="000913F8">
              <w:rPr>
                <w:rFonts w:ascii="Times New Roman" w:hAnsi="Times New Roman" w:cs="Times New Roman"/>
                <w:i/>
                <w:sz w:val="20"/>
                <w:szCs w:val="20"/>
                <w:lang w:val="ro-MD"/>
              </w:rPr>
              <w:t>(nr. 02/357 din 21.03.2025)</w:t>
            </w:r>
          </w:p>
        </w:tc>
        <w:tc>
          <w:tcPr>
            <w:tcW w:w="6661" w:type="dxa"/>
          </w:tcPr>
          <w:p w14:paraId="47DD76C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1) Privitor la mecanismul de monitorizare și evaluare</w:t>
            </w:r>
          </w:p>
          <w:p w14:paraId="1622AE6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 xml:space="preserve">Institutul Național de Cercetări Economice (INCE) al ASEM, fiind implicat de-a lungul anilor în elaborarea, monitorizarea și evaluarea documentelor de politici publice, constată că calitatea și oportunitatea procesului de monitorizare joacă un rol esențial în implementarea eficientă a reformelor. În acest context, în vederea asigurării implementării corespunzătoare a Agendei propriu-zise și obținerii impactului anticipat, considerăm extrem de importantă instituirea și respectarea unui mecanism eficient de monitorizare și evaluare a rezultatelor implementării acțiunilor stabilite de către autoritățile responsabile de executarea Agendei și a fiecărei acțiuni, în particular. </w:t>
            </w:r>
          </w:p>
          <w:p w14:paraId="4B894D6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 xml:space="preserve">Prin urmare, propunem ca procesul de monitorizare să nu se limiteze doar la cuantificarea acțiunilor realizate și nerealizate, ci să includă mențiuni privind respectarea termenilor de implementare, cauzele neimplementării sau extinderii termenului de implementare provocărilor majore întâmpinate în implementare ș.a. aspect relevante. Rapoartele de monitorizare/evaluare și Rapoartele de activitate ale instituțiilor responsabile de implementarea acțiunilor în cadrul Agendei trebuie să fie publicate anual și să reprezinte documente de bază pentru justificarea implementării/neimplementării acțiunilor planificate. </w:t>
            </w:r>
          </w:p>
          <w:p w14:paraId="6D6C4EA6" w14:textId="77777777" w:rsidR="00F3660E" w:rsidRPr="00502787" w:rsidRDefault="00F3660E" w:rsidP="00502787">
            <w:pPr>
              <w:jc w:val="both"/>
              <w:rPr>
                <w:rFonts w:ascii="Times New Roman" w:hAnsi="Times New Roman" w:cs="Times New Roman"/>
                <w:sz w:val="20"/>
                <w:szCs w:val="20"/>
                <w:lang w:val="ro-MD"/>
              </w:rPr>
            </w:pPr>
          </w:p>
          <w:p w14:paraId="6F12206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2) Privitor la compatibilitatea statistică și necesitatea unei reforme în domeniul statisticii oficiale</w:t>
            </w:r>
          </w:p>
          <w:p w14:paraId="2571F10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 xml:space="preserve">Un obstacol major în calea unei evaluări obiective și comparative a progresului Republicii Moldova îl constituie lipsa indicatorilor statistici socio-economici </w:t>
            </w:r>
            <w:r w:rsidRPr="00502787">
              <w:rPr>
                <w:rFonts w:ascii="Times New Roman" w:eastAsiaTheme="minorEastAsia" w:hAnsi="Times New Roman" w:cs="Times New Roman"/>
                <w:sz w:val="20"/>
                <w:szCs w:val="20"/>
                <w:lang w:val="ro-MD" w:eastAsia="en-GB"/>
              </w:rPr>
              <w:lastRenderedPageBreak/>
              <w:t>aliniați la standardele Uniunii Europene. Acest aspect afectează nu doar măsurarea performanței reformelor, dar și dialogul cu partenerii de dezvoltare.</w:t>
            </w:r>
          </w:p>
          <w:p w14:paraId="1F394D4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În acest sens, propunem includerea în Agenda de Reformă a unei componente prioritare orientate spre reforma sistemului statistic național, astfel încât Biroul Național de Statistică să dispună de cadrul instituțional și metodologic necesar pentru:</w:t>
            </w:r>
          </w:p>
          <w:p w14:paraId="7456503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producerea de indicatori armonizați (sociali, economici și de mediu); alinierea la cerințele Eurostat; asigurarea interoperabilității cu sistemele de date ale UE.</w:t>
            </w:r>
          </w:p>
          <w:p w14:paraId="2E4F58D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Această măsură ar contribui substanțial la transparență, responsabilitate și coerență în procesul de aderare la Uniunea Europeană.</w:t>
            </w:r>
          </w:p>
          <w:p w14:paraId="35111A3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eastAsia="en-GB"/>
              </w:rPr>
              <w:t>În concluzie, considerăm că documentul supus consultării reprezintă o bază solidă pentru realizarea unui cadru coerent de reforme. Propunerile prezentate mai sus vizează sporirea impactului și sustenabilității acțiunilor prevăzute în document, contribuind astfel la atingerea obiectivelor strategice de dezvoltare ale Republicii Moldova.</w:t>
            </w:r>
          </w:p>
        </w:tc>
        <w:tc>
          <w:tcPr>
            <w:tcW w:w="4819" w:type="dxa"/>
          </w:tcPr>
          <w:p w14:paraId="6C28449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Cancelaria de Stat</w:t>
            </w:r>
          </w:p>
          <w:p w14:paraId="4302FE41" w14:textId="76B1D215"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Referitor la mecanismul de monitorizare evaluare a prevederilor Agendei de Reforme pentru perioada 2025-2027, acesta urmează a fi dezvoltat în consultare cu partenerii europeni, având în vedere prevederile proiectului Acordului de Facilitate între Uniunea Europeană și Republica Moldova. În acest sens, menționăm că atât procedurile de montorizare, raportare și evaluare, cât și aspectele de vizibilitate și transparență vor fi elaborate în corespundere cu standardele UE.</w:t>
            </w:r>
          </w:p>
          <w:p w14:paraId="64E0E611" w14:textId="77777777" w:rsidR="00F3660E" w:rsidRPr="00502787" w:rsidRDefault="00F3660E" w:rsidP="00502787">
            <w:pPr>
              <w:jc w:val="both"/>
              <w:rPr>
                <w:rFonts w:ascii="Times New Roman" w:hAnsi="Times New Roman" w:cs="Times New Roman"/>
                <w:sz w:val="20"/>
                <w:szCs w:val="20"/>
                <w:lang w:val="ro-MD"/>
              </w:rPr>
            </w:pPr>
          </w:p>
          <w:p w14:paraId="22E70DF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Biroul Național de Statistică</w:t>
            </w:r>
          </w:p>
          <w:p w14:paraId="150EA26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Biroul Național de Statistică comunică următoarele: </w:t>
            </w:r>
          </w:p>
          <w:p w14:paraId="6D78362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Procesul de aliniere la standardele UE este o prioritate a BNS de mai mulți ani, o parte semnificativă a statisticlor fiind deja aliniate la acquis-ul UE.</w:t>
            </w:r>
          </w:p>
          <w:p w14:paraId="37C385D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Alinierea în continuare a statisticii oficiale la acquis-ul UE, (în special privind statistica macroeconomică, demografică pe baza Recensământului Populației și locuințelor,  statisticile agricole, în special privind recensământul agricol) care ar acorda suport pentru dezvoltarea economică și socială, este prevăzută în activitățile (etapele) 20-22 din Agenda de Reforme pentru </w:t>
            </w:r>
            <w:r w:rsidRPr="00502787">
              <w:rPr>
                <w:rFonts w:ascii="Times New Roman" w:hAnsi="Times New Roman" w:cs="Times New Roman"/>
                <w:sz w:val="20"/>
                <w:szCs w:val="20"/>
                <w:lang w:val="ro-MD"/>
              </w:rPr>
              <w:lastRenderedPageBreak/>
              <w:t xml:space="preserve">perioada 2025-2027. Activitățile detaliate privind alinierea statisticii la acquis-ul UE sunt prevăzute în proiectul </w:t>
            </w:r>
            <w:hyperlink r:id="rId11" w:tooltip="https://gov.md/ro/advanced-page-type/info-centre" w:history="1">
              <w:r w:rsidRPr="00502787">
                <w:rPr>
                  <w:rStyle w:val="Hyperlink"/>
                  <w:rFonts w:ascii="Times New Roman" w:eastAsia="Times New Roman" w:hAnsi="Times New Roman" w:cs="Times New Roman"/>
                  <w:b/>
                  <w:color w:val="auto"/>
                  <w:sz w:val="20"/>
                  <w:szCs w:val="20"/>
                  <w:lang w:val="ro-MD"/>
                </w:rPr>
                <w:t>Programului Național de Aderare</w:t>
              </w:r>
            </w:hyperlink>
            <w:r w:rsidRPr="00502787">
              <w:rPr>
                <w:rFonts w:ascii="Times New Roman" w:hAnsi="Times New Roman" w:cs="Times New Roman"/>
                <w:sz w:val="20"/>
                <w:szCs w:val="20"/>
                <w:lang w:val="ro-MD"/>
              </w:rPr>
              <w:t xml:space="preserve"> a Republicii Moldova la Uniunea Europeană 2025–2029 (PNA). În acest sens, informăm că proiectul  PNA, Capitolul 18 „Statistici” prevede un set amplu de acțiuni de aliniere a statisticilor naționale, fiind detaliate în </w:t>
            </w:r>
            <w:hyperlink r:id="rId12" w:tooltip="https://gov.md/sites/default/files/anexa_a_-_capitolul_18.pdf" w:history="1">
              <w:r w:rsidRPr="00502787">
                <w:rPr>
                  <w:rStyle w:val="Hyperlink"/>
                  <w:rFonts w:ascii="Times New Roman" w:eastAsia="Times New Roman" w:hAnsi="Times New Roman" w:cs="Times New Roman"/>
                  <w:color w:val="auto"/>
                  <w:sz w:val="20"/>
                  <w:szCs w:val="20"/>
                  <w:u w:val="none"/>
                  <w:lang w:val="ro-MD"/>
                </w:rPr>
                <w:t>Anexa A</w:t>
              </w:r>
            </w:hyperlink>
            <w:r w:rsidRPr="00502787">
              <w:rPr>
                <w:rFonts w:ascii="Times New Roman" w:hAnsi="Times New Roman" w:cs="Times New Roman"/>
                <w:sz w:val="20"/>
                <w:szCs w:val="20"/>
                <w:lang w:val="ro-MD"/>
              </w:rPr>
              <w:t xml:space="preserve"> - 83 acțiuni normative și </w:t>
            </w:r>
            <w:hyperlink r:id="rId13" w:tooltip="https://gov.md/sites/default/files/anexa_b_-_capitolul_18.pdf" w:history="1">
              <w:r w:rsidRPr="00502787">
                <w:rPr>
                  <w:rStyle w:val="Hyperlink"/>
                  <w:rFonts w:ascii="Times New Roman" w:eastAsia="Times New Roman" w:hAnsi="Times New Roman" w:cs="Times New Roman"/>
                  <w:color w:val="auto"/>
                  <w:sz w:val="20"/>
                  <w:szCs w:val="20"/>
                  <w:u w:val="none"/>
                  <w:lang w:val="ro-MD"/>
                </w:rPr>
                <w:t>Anexa B</w:t>
              </w:r>
            </w:hyperlink>
            <w:r w:rsidRPr="00502787">
              <w:rPr>
                <w:rFonts w:ascii="Times New Roman" w:hAnsi="Times New Roman" w:cs="Times New Roman"/>
                <w:sz w:val="20"/>
                <w:szCs w:val="20"/>
                <w:lang w:val="ro-MD"/>
              </w:rPr>
              <w:t>  - 85 acțiuni de implementare. Aceste acțiuni vizează:</w:t>
            </w:r>
          </w:p>
          <w:p w14:paraId="62F237C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consolidarea capacității instituționale și operaționale a BNS pentru a răspunde cerințelor de aliniere la acquis-ul statistic al Uniunii Europene;</w:t>
            </w:r>
          </w:p>
          <w:p w14:paraId="0152FA1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armonizarea indicatorilor statistici socio-economici și de mediu cu standardele și metodologiile UE;</w:t>
            </w:r>
          </w:p>
          <w:p w14:paraId="6750A5D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dezvoltarea interoperabilității sistemului național de date, prin utilizarea datelor administrative, digitalizarea proceselor și modernizarea infrastructurii IT;</w:t>
            </w:r>
          </w:p>
          <w:p w14:paraId="1BF7C58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asigurarea sustenabilității reformelor statistice prin cooperarea cu partenerii de dezvoltare și instituțiile științifice, academice și de cercetare.</w:t>
            </w:r>
          </w:p>
        </w:tc>
      </w:tr>
      <w:tr w:rsidR="0024020C" w:rsidRPr="00502787" w14:paraId="60E22AC7" w14:textId="77777777">
        <w:trPr>
          <w:trHeight w:val="562"/>
        </w:trPr>
        <w:tc>
          <w:tcPr>
            <w:tcW w:w="556" w:type="dxa"/>
          </w:tcPr>
          <w:p w14:paraId="4688892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6.</w:t>
            </w:r>
          </w:p>
        </w:tc>
        <w:tc>
          <w:tcPr>
            <w:tcW w:w="2278" w:type="dxa"/>
          </w:tcPr>
          <w:p w14:paraId="670CFFFC" w14:textId="77777777" w:rsidR="00F3660E"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Alianța pentru Abilitarea Economică a Femeilor (AFAM)</w:t>
            </w:r>
            <w:r w:rsidR="000913F8">
              <w:rPr>
                <w:rFonts w:ascii="Times New Roman" w:hAnsi="Times New Roman" w:cs="Times New Roman"/>
                <w:sz w:val="20"/>
                <w:szCs w:val="20"/>
                <w:lang w:val="ro-MD"/>
              </w:rPr>
              <w:t xml:space="preserve"> </w:t>
            </w:r>
          </w:p>
          <w:p w14:paraId="7F02422E" w14:textId="78C5446E" w:rsidR="00D51751" w:rsidRPr="00D51751" w:rsidRDefault="00D51751" w:rsidP="00502787">
            <w:pPr>
              <w:jc w:val="both"/>
              <w:rPr>
                <w:rFonts w:ascii="Times New Roman" w:hAnsi="Times New Roman" w:cs="Times New Roman"/>
                <w:i/>
                <w:sz w:val="20"/>
                <w:szCs w:val="20"/>
                <w:lang w:val="ro-MD"/>
              </w:rPr>
            </w:pPr>
            <w:r w:rsidRPr="00D51751">
              <w:rPr>
                <w:rFonts w:ascii="Times New Roman" w:hAnsi="Times New Roman" w:cs="Times New Roman"/>
                <w:i/>
                <w:sz w:val="20"/>
                <w:szCs w:val="20"/>
                <w:lang w:val="ro-MD"/>
              </w:rPr>
              <w:t>(propunere parvenită la data de 24.03.2025 prin interediul poștei electronice)</w:t>
            </w:r>
          </w:p>
        </w:tc>
        <w:tc>
          <w:tcPr>
            <w:tcW w:w="6661" w:type="dxa"/>
          </w:tcPr>
          <w:p w14:paraId="14B1D4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Totodată, am dori să semnalăm faptul că în Planul de Creștere lipsește cu desăvârșire la Pilonul 1 “Dezvoltarea Sectorului Privat” componenta de promovare a antreprenoriatului feminin.</w:t>
            </w:r>
          </w:p>
          <w:p w14:paraId="0534DA9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Propunem includerea următorului text: Access to finance for women founded and led businesses facilitated by ODA through: (i) improving internal Women in Business procedures, (ii) introduction of two new instruments under the ODA Credit Guarantee Fund strengthening Women in Business borrowing capacities, including targeting in particular export-oriented women founded or led businesses and (iii) 2 new programs under the Fund for Women in Business to allow for provision of a larger range of access to finance instruments, and (iv) provision of business advisory services to women founded or led businesses.</w:t>
            </w:r>
          </w:p>
          <w:p w14:paraId="4913A90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Baseline: In 2024, Women in Business operates with a limited range of financial products, and internal policies need to align with best practices, while offering financial support, has a restricted scope that does not fully address the evolving financial needs of women founded or led businesses. Limited business advisory services are provided.</w:t>
            </w:r>
          </w:p>
          <w:p w14:paraId="1247F1E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La descriere: (i) Internal procedures of Credit Guarantee Fund are enhanced through adoption of a new Risk Manual, Internal Control Manual, Investment Policy, and Product Policy documents, (ii) Operationalisation of 2 new guarantees products under the Credit Guarantee Fund including focus on export-oriented Women in Business in line with Export Promotion Programme (export credit guarantees and agricultural credit guarantees); (iii) Operationalisation of 2 new financial products of Women in Business - (preferential investment loans </w:t>
            </w:r>
            <w:r w:rsidRPr="00502787">
              <w:rPr>
                <w:rFonts w:ascii="Times New Roman" w:eastAsiaTheme="minorEastAsia" w:hAnsi="Times New Roman" w:cs="Times New Roman"/>
                <w:sz w:val="20"/>
                <w:szCs w:val="20"/>
                <w:lang w:val="ro-MD"/>
              </w:rPr>
              <w:lastRenderedPageBreak/>
              <w:t>and a credit portfolio loan mechanism) and extension of Women in Business program compensating the interest rate for the loans. (iv) Provision of business advisory services to women founded or led businesses.</w:t>
            </w:r>
          </w:p>
          <w:p w14:paraId="6D189AB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Source of verification: Government decision/ODA Public Institution Council decision on financial instruments (Women in Business), ODA annual reports</w:t>
            </w:r>
          </w:p>
        </w:tc>
        <w:tc>
          <w:tcPr>
            <w:tcW w:w="4819" w:type="dxa"/>
          </w:tcPr>
          <w:p w14:paraId="0453327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31371220" w14:textId="77961494"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Dezvot</w:t>
            </w:r>
            <w:r w:rsidR="002441BB" w:rsidRPr="00502787">
              <w:rPr>
                <w:rFonts w:ascii="Times New Roman" w:hAnsi="Times New Roman" w:cs="Times New Roman"/>
                <w:sz w:val="20"/>
                <w:szCs w:val="20"/>
                <w:lang w:val="ro-MD"/>
              </w:rPr>
              <w:t>a</w:t>
            </w:r>
            <w:r w:rsidRPr="00502787">
              <w:rPr>
                <w:rFonts w:ascii="Times New Roman" w:hAnsi="Times New Roman" w:cs="Times New Roman"/>
                <w:sz w:val="20"/>
                <w:szCs w:val="20"/>
                <w:lang w:val="ro-MD"/>
              </w:rPr>
              <w:t>rea antreprenoriatului feminin este o prioritate a inlcusa in documente de politici. Sustinem reflectarea acestia in GP prin mentionarea a insturmentele ODA vor include si masuri speciale pentru femei antreprenori.</w:t>
            </w:r>
          </w:p>
          <w:p w14:paraId="4919BF13" w14:textId="20E34635"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(i) Agenda de Reforme presupune elaborarea și lansarea unui Program de suport </w:t>
            </w:r>
            <w:r w:rsidR="0024020C" w:rsidRPr="00502787">
              <w:rPr>
                <w:rFonts w:ascii="Times New Roman" w:hAnsi="Times New Roman" w:cs="Times New Roman"/>
                <w:sz w:val="20"/>
                <w:szCs w:val="20"/>
                <w:lang w:val="ro-MD"/>
              </w:rPr>
              <w:t>cadru</w:t>
            </w:r>
            <w:r w:rsidRPr="00502787">
              <w:rPr>
                <w:rFonts w:ascii="Times New Roman" w:hAnsi="Times New Roman" w:cs="Times New Roman"/>
                <w:sz w:val="20"/>
                <w:szCs w:val="20"/>
                <w:lang w:val="ro-MD"/>
              </w:rPr>
              <w:t>, care va include cel puțin 5 Programe gestionate acum de către ODA. Formularea actuală nu limitează numărul maxim de programe. Actualmente, ODA gestionează un program dedicat antreprenoriatului feminin, care conține trei componente. Prioritățile Programului curent ar putea să se regăsească în Programul Cadru, sau am putea rămâne pe abordarea de Progam separat dedicat antreprenoarelor.</w:t>
            </w:r>
          </w:p>
          <w:p w14:paraId="2E2698D1" w14:textId="3632A5CE"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Viziunea este de a dezvolta un Progam care se va baza pe priorități (antreprenoriat feminin, digitalizare, ecologizare, competitivitate), cu ferestre de apel pentru fiecare din ele și/sau cu grant-uri oferite ca reward pentru atingerea unor obiective.</w:t>
            </w:r>
          </w:p>
          <w:p w14:paraId="47984E13" w14:textId="77831B7E" w:rsidR="0024020C"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(ii) pentru produsele de garantare prevăzute în agenda de reforme, susținem aceeași abordare, ca și opțiune: în cadrul produselor agreate vom putea acorda tratament preferențial pentru anumite grupuri / categorii / obiective. </w:t>
            </w:r>
            <w:r w:rsidRPr="00502787">
              <w:rPr>
                <w:rFonts w:ascii="Times New Roman" w:hAnsi="Times New Roman" w:cs="Times New Roman"/>
                <w:sz w:val="20"/>
                <w:szCs w:val="20"/>
                <w:lang w:val="ro-MD"/>
              </w:rPr>
              <w:lastRenderedPageBreak/>
              <w:t>De exemplu: dacă condiția generală spune că ODA va partaja x% din riscul de credit cu banca și plafonul maxim al expunerii față de debitor este de y lei, atunci pentru antreprenorare indicatorul 1 va fi x+n% iar indicatorul 2 ar fi y+m lei.</w:t>
            </w:r>
          </w:p>
          <w:p w14:paraId="427FD6CD" w14:textId="77777777" w:rsidR="0024020C" w:rsidRPr="00502787" w:rsidRDefault="0024020C"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Produsele actuale de garantare gsetionate de FGC conțin deja unele facilități pentru companiile fondate sau administrate de femei, cum ar fi o cotă de Garantare de 70% față de o cotă de 50% aplicată în mod standard.</w:t>
            </w:r>
          </w:p>
          <w:p w14:paraId="3EA454B0" w14:textId="3D604D2A" w:rsidR="00F3660E" w:rsidRPr="00502787" w:rsidRDefault="0024020C"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elaborarea noilor produse, precum si ajustarea produselor de garantare actuale se va analiza posibilitatea acordării unor stimulente suplimentare companiilor fondate sau administrate de femei</w:t>
            </w:r>
          </w:p>
          <w:p w14:paraId="792F1E59" w14:textId="5EFEEC1F"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(iii) Nu dispunem de fond pentru antreprenoriat feminin. Cred că se face referință la una din următoarele instrumente: (1) Programul dedicat antreprenoriatului feminin sau (2) Fondul FACEM. Pentru că în Agenda de Reforme avem asumate elaborare și lansarea a două produse financiare în cadrul fondului FACEM, propunem să considerăm aceeași abordare ca și în punctele de mai sus. </w:t>
            </w:r>
          </w:p>
          <w:p w14:paraId="2CBDCF8D" w14:textId="0325EF8E"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(iv) Aceeași logică, cu condiția că se vor aloca sau identifica resurse.</w:t>
            </w:r>
          </w:p>
          <w:p w14:paraId="08D01F9B" w14:textId="638E96EF" w:rsidR="00F3660E" w:rsidRPr="00502787" w:rsidRDefault="0024020C"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HG de modificare a Programelor completează cu articole de cheltuieli care facilitează accesarea serviciilor de consultanță. „servicii de dezvoltare a afacerii (consultanță și formare profesională în domeniul de activitate desfășurat; marketing și publicitate; consultanță în planificarea afacerii și accesul la finanțare aferente proiectului investițional în cadrul prezentului Program)”</w:t>
            </w:r>
          </w:p>
          <w:p w14:paraId="3359267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Veronica Arpintin:</w:t>
            </w:r>
          </w:p>
          <w:p w14:paraId="7E24B289"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31B4C8BF" w14:textId="77777777">
        <w:trPr>
          <w:trHeight w:val="562"/>
        </w:trPr>
        <w:tc>
          <w:tcPr>
            <w:tcW w:w="14314" w:type="dxa"/>
            <w:gridSpan w:val="4"/>
            <w:shd w:val="clear" w:color="auto" w:fill="D9D9D9" w:themeFill="background1" w:themeFillShade="D9"/>
          </w:tcPr>
          <w:p w14:paraId="5F8FFB9E"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4F64DD36" w14:textId="77777777">
        <w:trPr>
          <w:trHeight w:val="562"/>
        </w:trPr>
        <w:tc>
          <w:tcPr>
            <w:tcW w:w="556" w:type="dxa"/>
          </w:tcPr>
          <w:p w14:paraId="7F8613E3" w14:textId="77777777" w:rsidR="00F3660E" w:rsidRPr="00502787" w:rsidRDefault="00F3660E" w:rsidP="00502787">
            <w:pPr>
              <w:jc w:val="both"/>
              <w:rPr>
                <w:rFonts w:ascii="Times New Roman" w:hAnsi="Times New Roman" w:cs="Times New Roman"/>
                <w:sz w:val="20"/>
                <w:szCs w:val="20"/>
                <w:lang w:val="ro-MD"/>
              </w:rPr>
            </w:pPr>
          </w:p>
        </w:tc>
        <w:tc>
          <w:tcPr>
            <w:tcW w:w="2278" w:type="dxa"/>
          </w:tcPr>
          <w:p w14:paraId="43D27393" w14:textId="04F487B4" w:rsidR="00F3660E" w:rsidRDefault="00D51751" w:rsidP="00502787">
            <w:pPr>
              <w:jc w:val="both"/>
              <w:rPr>
                <w:rFonts w:ascii="Times New Roman" w:hAnsi="Times New Roman" w:cs="Times New Roman"/>
                <w:sz w:val="20"/>
                <w:szCs w:val="20"/>
                <w:lang w:val="ro-MD"/>
              </w:rPr>
            </w:pPr>
            <w:r>
              <w:rPr>
                <w:rFonts w:ascii="Times New Roman" w:hAnsi="Times New Roman" w:cs="Times New Roman"/>
                <w:sz w:val="20"/>
                <w:szCs w:val="20"/>
                <w:lang w:val="ro-MD"/>
              </w:rPr>
              <w:t xml:space="preserve">I.M. </w:t>
            </w:r>
            <w:r w:rsidR="00480C4A" w:rsidRPr="00502787">
              <w:rPr>
                <w:rFonts w:ascii="Times New Roman" w:hAnsi="Times New Roman" w:cs="Times New Roman"/>
                <w:sz w:val="20"/>
                <w:szCs w:val="20"/>
                <w:lang w:val="ro-MD"/>
              </w:rPr>
              <w:t>Orange Moldova</w:t>
            </w:r>
            <w:r>
              <w:rPr>
                <w:rFonts w:ascii="Times New Roman" w:hAnsi="Times New Roman" w:cs="Times New Roman"/>
                <w:sz w:val="20"/>
                <w:szCs w:val="20"/>
                <w:lang w:val="ro-MD"/>
              </w:rPr>
              <w:t xml:space="preserve"> S.A.</w:t>
            </w:r>
          </w:p>
          <w:p w14:paraId="55B5D6C3" w14:textId="7BA89641" w:rsidR="000913F8" w:rsidRPr="000913F8" w:rsidRDefault="000913F8" w:rsidP="000913F8">
            <w:pPr>
              <w:rPr>
                <w:rFonts w:ascii="Times New Roman" w:hAnsi="Times New Roman" w:cs="Times New Roman"/>
                <w:i/>
                <w:sz w:val="20"/>
                <w:szCs w:val="20"/>
                <w:lang w:val="ro-MD"/>
              </w:rPr>
            </w:pPr>
            <w:r w:rsidRPr="000913F8">
              <w:rPr>
                <w:rFonts w:ascii="Times New Roman" w:hAnsi="Times New Roman" w:cs="Times New Roman"/>
                <w:i/>
                <w:sz w:val="20"/>
                <w:szCs w:val="20"/>
                <w:lang w:val="ro-MD"/>
              </w:rPr>
              <w:t>(nr. 180/25 din 24.03.2025)</w:t>
            </w:r>
          </w:p>
        </w:tc>
        <w:tc>
          <w:tcPr>
            <w:tcW w:w="6661" w:type="dxa"/>
          </w:tcPr>
          <w:p w14:paraId="3BFCD4E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Una dintre măsurile propuse vizează îmbunătățirea rezilienței rețelelor din Republica Moldova prin alinierea completă la setul de instrumente al UE pentru securitatea 5G, inclusiv prin:</w:t>
            </w:r>
          </w:p>
          <w:p w14:paraId="6D7F6DA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adoptarea cadrului legal adecvat pentru implementarea acestuia;</w:t>
            </w:r>
          </w:p>
          <w:p w14:paraId="4C9E055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evaluarea furnizorilor și identificarea furnizorilor cu risc ridicat;</w:t>
            </w:r>
          </w:p>
          <w:p w14:paraId="6540CA6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adoptarea și aplicarea de restricții, inclusiv excluderi necesare ale furnizorilor cu risc ridicat, pentru activele cheie definite ca critice și extrem sensibile în evaluarea coordonată a riscurilor de UE pentru rețelele 5G.</w:t>
            </w:r>
          </w:p>
          <w:p w14:paraId="01A2AB4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 xml:space="preserve">Lista investițiilor prioritare propuse pentru punerea în aplicare a Agendei menționate cuprinde investiții în valoare estimativă de 60 milioane euro , oferite de BERD, cu suportul tehnic al SwedFund și EU4Digital, pentru modernizarea și dezvoltarea rețelelor 5G sigure, pornind de la faptul că operatorii din Moldova s-ar pregăti să investească în rețele 5G, iar sprijinul respectiv le-ar permite să investească în rețele 5G sigure în loc să le achiziționeze de la furnizori cu risc ridicat. </w:t>
            </w:r>
          </w:p>
          <w:p w14:paraId="5891FAB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Termenul preconizat pentru realizarea măsurii respective este luna decembrie 2027.</w:t>
            </w:r>
          </w:p>
          <w:p w14:paraId="734D221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Această inițiativă trezește o îngrijorare profundă pentru securitatea investițiilor substanțiale efectuate de Orange Moldova și continuitatea afacerii acesteia. </w:t>
            </w:r>
          </w:p>
          <w:p w14:paraId="7121B434" w14:textId="77777777" w:rsidR="00F3660E" w:rsidRPr="00502787" w:rsidRDefault="00F3660E" w:rsidP="00502787">
            <w:pPr>
              <w:jc w:val="both"/>
              <w:rPr>
                <w:rFonts w:ascii="Times New Roman" w:hAnsi="Times New Roman" w:cs="Times New Roman"/>
                <w:sz w:val="20"/>
                <w:szCs w:val="20"/>
                <w:lang w:val="ro-MD"/>
              </w:rPr>
            </w:pPr>
          </w:p>
          <w:p w14:paraId="350B25CE" w14:textId="77777777" w:rsidR="00F3660E" w:rsidRPr="00502787" w:rsidRDefault="000913F8"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object w:dxaOrig="9180" w:dyaOrig="11880" w14:anchorId="2E2CC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508.5pt" o:ole="">
                  <v:imagedata r:id="rId14" o:title=""/>
                </v:shape>
                <o:OLEObject Type="Embed" ProgID="AcroExch.Document.7" ShapeID="_x0000_i1025" DrawAspect="Content" ObjectID="_1807517609" r:id="rId15"/>
              </w:object>
            </w:r>
          </w:p>
        </w:tc>
        <w:tc>
          <w:tcPr>
            <w:tcW w:w="4819" w:type="dxa"/>
          </w:tcPr>
          <w:p w14:paraId="41023C5E" w14:textId="77777777" w:rsidR="002441BB"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Ministerul Dezvoltării Economice și Digitalizării</w:t>
            </w:r>
          </w:p>
          <w:p w14:paraId="11468C7C" w14:textId="7265A89B"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Alinierea la reglementarea UE privind Setul de instrumente pentru securitate cibernetică 5G, un set de măsuri legislative și tehnice menite să asigure rețele 5G sigure și rezistente în UE, este prevăzută în proiectul PNA 2025-2029. Această aliniere este esențială pentru Moldova pentru a proteja securitatea națională și a se integra mai eficient în piața unică digitală a UE. </w:t>
            </w:r>
          </w:p>
          <w:p w14:paraId="5A8836C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Pe 17.03.25 a fost semnat Acordul de Grant în sumă de 470 mii Euro dintre MDED și Swedfund International AB privind serviciile de consultanță pentru implementarea setului de instrumente al UE pentru securitatea 5G.</w:t>
            </w:r>
          </w:p>
          <w:p w14:paraId="36AB5AC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Astfel, urmează a fi contractată compania de consultanță de talie internațională pentru următoarele:</w:t>
            </w:r>
          </w:p>
          <w:p w14:paraId="66C7156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Prezentarea cazurilor de succes și provocărilor din implementările naționale în țările UE și din afara UE. </w:t>
            </w:r>
          </w:p>
          <w:p w14:paraId="7E8D13B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politicii naționale actuale și aspectele legale legate de securitate și încredere în implementarea 5G. </w:t>
            </w:r>
          </w:p>
          <w:p w14:paraId="0539502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O evaluare națională cuprinzătoare a riscurilor furnizorilor, în conformitate cu recomandările EU 5G Toolbox. </w:t>
            </w:r>
          </w:p>
          <w:p w14:paraId="02C3F24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măsurilor de securitate cibernetică existente. </w:t>
            </w:r>
          </w:p>
          <w:p w14:paraId="32337EE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costurilor estimative pentru operatori de implementare a Setului de instrumente 5G. </w:t>
            </w:r>
          </w:p>
          <w:p w14:paraId="7C97C18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Propunerea unui mecanism de compensare pentru operatori care să stimuleze conformitatea cu Setul de instrumente 5G al UE și cu măsurile de atenuare recomandate. </w:t>
            </w:r>
          </w:p>
          <w:p w14:paraId="64E83A9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Propunerea unui plan de implementare pentru Setul de instrumente 5G UE, pentru diferite scenarii (perioade de tranziție etc.). </w:t>
            </w:r>
          </w:p>
          <w:p w14:paraId="3C1BEDD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Elaborarea unui proiect de lege pentru alinierea cu instrumentele UE 5G. </w:t>
            </w:r>
          </w:p>
          <w:p w14:paraId="16806C8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Cartografierea sprijinului financiar existent și potențial al UE, disponibil pentru lansarea 5G</w:t>
            </w:r>
          </w:p>
          <w:p w14:paraId="57CF866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Astfel, implementarea cerințelor Setului de instrumente 5G UE urmează să fie prevăzută în actul național de aliniere în 2027, cu o perioadă de conformare/de tranziție care urmează a fi stabilită urmare studiului menționat cu suportul SWEDFUND, dar și măsurile compensatorii pentru operatori pentru conformare și substituire echipamente de la furnizori cu risc înalt de securitate.</w:t>
            </w:r>
          </w:p>
        </w:tc>
      </w:tr>
      <w:tr w:rsidR="0024020C" w:rsidRPr="00502787" w14:paraId="303BE1B0" w14:textId="77777777">
        <w:trPr>
          <w:trHeight w:val="2358"/>
        </w:trPr>
        <w:tc>
          <w:tcPr>
            <w:tcW w:w="556" w:type="dxa"/>
            <w:vMerge w:val="restart"/>
          </w:tcPr>
          <w:p w14:paraId="6B8743B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7.</w:t>
            </w:r>
          </w:p>
        </w:tc>
        <w:tc>
          <w:tcPr>
            <w:tcW w:w="2278" w:type="dxa"/>
            <w:vMerge w:val="restart"/>
          </w:tcPr>
          <w:p w14:paraId="3F3EDC24" w14:textId="77777777" w:rsidR="00F3660E"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Centrul analitic independent EXPERT-GRUP</w:t>
            </w:r>
          </w:p>
          <w:p w14:paraId="3406C07C" w14:textId="02132274" w:rsidR="00D51751" w:rsidRPr="00D51751" w:rsidRDefault="00D51751" w:rsidP="00502787">
            <w:pPr>
              <w:jc w:val="both"/>
              <w:rPr>
                <w:rFonts w:ascii="Times New Roman" w:hAnsi="Times New Roman" w:cs="Times New Roman"/>
                <w:i/>
                <w:sz w:val="20"/>
                <w:szCs w:val="20"/>
                <w:lang w:val="ro-MD"/>
              </w:rPr>
            </w:pPr>
            <w:r w:rsidRPr="00D51751">
              <w:rPr>
                <w:rFonts w:ascii="Times New Roman" w:hAnsi="Times New Roman" w:cs="Times New Roman"/>
                <w:i/>
                <w:sz w:val="20"/>
                <w:szCs w:val="20"/>
                <w:lang w:val="ro-MD"/>
              </w:rPr>
              <w:t>(propunere parvenită la data de 28.03.2025 prin intermediul poștei electronice)</w:t>
            </w:r>
          </w:p>
          <w:p w14:paraId="69901E54" w14:textId="77777777" w:rsidR="00F3660E" w:rsidRPr="00502787" w:rsidRDefault="00F3660E" w:rsidP="00502787">
            <w:pPr>
              <w:jc w:val="both"/>
              <w:rPr>
                <w:rFonts w:ascii="Times New Roman" w:hAnsi="Times New Roman" w:cs="Times New Roman"/>
                <w:sz w:val="20"/>
                <w:szCs w:val="20"/>
                <w:lang w:val="ro-MD"/>
              </w:rPr>
            </w:pPr>
          </w:p>
          <w:p w14:paraId="58E860C5"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5D540C1"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Observații generale:</w:t>
            </w:r>
          </w:p>
          <w:p w14:paraId="4122082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Textul în română necesită editare substanțială din cauza multiplelor expresii și formulări nereușite, derivate,</w:t>
            </w:r>
          </w:p>
          <w:p w14:paraId="519E8F9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cel mai probabil, din cauza traducerii din limba română.</w:t>
            </w:r>
          </w:p>
          <w:p w14:paraId="4AF65C4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Documentul nu este bazat pe un format-standard, fiind observate stiluri și abordări diferite în funcție de piloni și domenii (ex: unele măsuri nu menționează sursele de verificare, sunt folosite abrevieri neoportune (MD – Moldova), instituțiile sunt fie menționate pe lung, fie prin abreviere, aranjarea în pagină este diferită etc.). O formatare atentă a documentului este imperativă.</w:t>
            </w:r>
          </w:p>
        </w:tc>
        <w:tc>
          <w:tcPr>
            <w:tcW w:w="4819" w:type="dxa"/>
            <w:vMerge w:val="restart"/>
          </w:tcPr>
          <w:p w14:paraId="5638BC9A" w14:textId="4C464AEE" w:rsidR="00F3660E" w:rsidRPr="00502787" w:rsidRDefault="0024020C"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ia act</w:t>
            </w:r>
          </w:p>
          <w:p w14:paraId="59A83C2E" w14:textId="77777777" w:rsidR="00F3660E" w:rsidRPr="00502787" w:rsidRDefault="00F3660E" w:rsidP="00502787">
            <w:pPr>
              <w:jc w:val="both"/>
              <w:rPr>
                <w:rFonts w:ascii="Times New Roman" w:hAnsi="Times New Roman" w:cs="Times New Roman"/>
                <w:sz w:val="20"/>
                <w:szCs w:val="20"/>
                <w:lang w:val="ro-MD"/>
              </w:rPr>
            </w:pPr>
          </w:p>
          <w:p w14:paraId="2619A18E" w14:textId="77777777" w:rsidR="00F3660E" w:rsidRPr="00502787" w:rsidRDefault="00F3660E" w:rsidP="00502787">
            <w:pPr>
              <w:jc w:val="both"/>
              <w:rPr>
                <w:rFonts w:ascii="Times New Roman" w:hAnsi="Times New Roman" w:cs="Times New Roman"/>
                <w:sz w:val="20"/>
                <w:szCs w:val="20"/>
                <w:lang w:val="ro-MD"/>
              </w:rPr>
            </w:pPr>
          </w:p>
          <w:p w14:paraId="40578D31" w14:textId="77777777" w:rsidR="00F3660E" w:rsidRPr="00502787" w:rsidRDefault="00F3660E" w:rsidP="00502787">
            <w:pPr>
              <w:jc w:val="both"/>
              <w:rPr>
                <w:rFonts w:ascii="Times New Roman" w:hAnsi="Times New Roman" w:cs="Times New Roman"/>
                <w:sz w:val="20"/>
                <w:szCs w:val="20"/>
                <w:lang w:val="ro-MD"/>
              </w:rPr>
            </w:pPr>
          </w:p>
          <w:p w14:paraId="79D06B03" w14:textId="77777777" w:rsidR="00F3660E" w:rsidRPr="00502787" w:rsidRDefault="00F3660E" w:rsidP="00502787">
            <w:pPr>
              <w:jc w:val="both"/>
              <w:rPr>
                <w:rFonts w:ascii="Times New Roman" w:hAnsi="Times New Roman" w:cs="Times New Roman"/>
                <w:sz w:val="20"/>
                <w:szCs w:val="20"/>
                <w:lang w:val="ro-MD"/>
              </w:rPr>
            </w:pPr>
          </w:p>
          <w:p w14:paraId="4BA6469A" w14:textId="77777777" w:rsidR="00F3660E" w:rsidRPr="00502787" w:rsidRDefault="00F3660E" w:rsidP="00502787">
            <w:pPr>
              <w:jc w:val="both"/>
              <w:rPr>
                <w:rFonts w:ascii="Times New Roman" w:hAnsi="Times New Roman" w:cs="Times New Roman"/>
                <w:sz w:val="20"/>
                <w:szCs w:val="20"/>
                <w:lang w:val="ro-MD"/>
              </w:rPr>
            </w:pPr>
          </w:p>
          <w:p w14:paraId="44EF6D2B"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1C642376" w14:textId="77777777">
        <w:trPr>
          <w:trHeight w:val="1680"/>
        </w:trPr>
        <w:tc>
          <w:tcPr>
            <w:tcW w:w="556" w:type="dxa"/>
            <w:vMerge/>
          </w:tcPr>
          <w:p w14:paraId="044DF954"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3E62BD91"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D0F4A6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Pilonul 7 – Fundamente – nu conține nici o prevedere despre fortificarea cadrului de consultări publice și implicarea societății civile în procesul de monitorizare și implementare a Agendei de reforme, chiar dacă rolul fundamental al societăți civile a fost accentuat în Regulamentul Consiliului Europei privind Planul de Creștere, dar și în opinia Comitetului Economic și Social European, aprobată pe 26 martie, 2025</w:t>
            </w:r>
          </w:p>
          <w:p w14:paraId="7EA62C61" w14:textId="77777777" w:rsidR="00F3660E" w:rsidRPr="00502787" w:rsidRDefault="00F3660E" w:rsidP="00502787">
            <w:pPr>
              <w:jc w:val="both"/>
              <w:rPr>
                <w:rFonts w:ascii="Times New Roman" w:hAnsi="Times New Roman" w:cs="Times New Roman"/>
                <w:sz w:val="20"/>
                <w:szCs w:val="20"/>
                <w:u w:val="single"/>
                <w:lang w:val="ro-MD"/>
              </w:rPr>
            </w:pPr>
          </w:p>
        </w:tc>
        <w:tc>
          <w:tcPr>
            <w:tcW w:w="4819" w:type="dxa"/>
            <w:vMerge w:val="restart"/>
          </w:tcPr>
          <w:p w14:paraId="480172D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acceptă. În partea narativă a Agendei de Reformă va fi inclus paragraf cu privire la procesul de consultări publice.</w:t>
            </w:r>
          </w:p>
          <w:p w14:paraId="7AA031DE" w14:textId="77777777" w:rsidR="00F3660E" w:rsidRPr="00502787" w:rsidRDefault="00F3660E" w:rsidP="00502787">
            <w:pPr>
              <w:jc w:val="both"/>
              <w:rPr>
                <w:rFonts w:ascii="Times New Roman" w:hAnsi="Times New Roman" w:cs="Times New Roman"/>
                <w:sz w:val="20"/>
                <w:szCs w:val="20"/>
                <w:lang w:val="ro-MD"/>
              </w:rPr>
            </w:pPr>
          </w:p>
          <w:p w14:paraId="6EA60A95" w14:textId="77777777" w:rsidR="00F3660E" w:rsidRPr="00502787" w:rsidRDefault="00F3660E" w:rsidP="00502787">
            <w:pPr>
              <w:jc w:val="both"/>
              <w:rPr>
                <w:rFonts w:ascii="Times New Roman" w:hAnsi="Times New Roman" w:cs="Times New Roman"/>
                <w:sz w:val="20"/>
                <w:szCs w:val="20"/>
                <w:lang w:val="ro-MD"/>
              </w:rPr>
            </w:pPr>
          </w:p>
          <w:p w14:paraId="72F0D68F"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45F93F1A" w14:textId="77777777">
        <w:trPr>
          <w:trHeight w:val="3882"/>
        </w:trPr>
        <w:tc>
          <w:tcPr>
            <w:tcW w:w="556" w:type="dxa"/>
            <w:vMerge w:val="restart"/>
          </w:tcPr>
          <w:p w14:paraId="48B134EB"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5147E70C"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4E77A2B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5EAAC4EF" w14:textId="77777777" w:rsidR="00F3660E" w:rsidRPr="00502787" w:rsidRDefault="00480C4A"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lang w:val="ro-MD"/>
              </w:rPr>
              <w:t xml:space="preserve">Măsura 1.3. Textul propus: </w:t>
            </w:r>
            <w:r w:rsidRPr="00502787">
              <w:rPr>
                <w:rFonts w:ascii="Times New Roman" w:eastAsiaTheme="minorEastAsia" w:hAnsi="Times New Roman" w:cs="Times New Roman"/>
                <w:sz w:val="20"/>
                <w:szCs w:val="20"/>
                <w:u w:val="single"/>
                <w:lang w:val="ro-MD"/>
              </w:rPr>
              <w:t xml:space="preserve">Condiția de plată și termenul de punere în aplicare. </w:t>
            </w:r>
          </w:p>
          <w:p w14:paraId="21D1FD54" w14:textId="33DFAAB9"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Moldova își </w:t>
            </w:r>
            <w:r w:rsidRPr="00502787">
              <w:rPr>
                <w:rFonts w:ascii="Times New Roman" w:hAnsi="Times New Roman" w:cs="Times New Roman"/>
                <w:sz w:val="20"/>
                <w:szCs w:val="20"/>
                <w:lang w:val="ro-MD"/>
              </w:rPr>
              <w:t xml:space="preserve">consolidează </w:t>
            </w:r>
            <w:r w:rsidRPr="00502787">
              <w:rPr>
                <w:rFonts w:ascii="Times New Roman" w:eastAsiaTheme="minorEastAsia" w:hAnsi="Times New Roman" w:cs="Times New Roman"/>
                <w:sz w:val="20"/>
                <w:szCs w:val="20"/>
                <w:lang w:val="ro-MD"/>
              </w:rPr>
              <w:t>procedurile de insolvență și faliment prin revizuirea legislației relevante, lansarea programului de sprijin pentru a doua șansă pentru IMMuri, instituirea registrului electronic de insolvență, precum și dezvoltarea unui program de refinanțare a creditelor investiționale în baza resurselor din Planul de creștere.</w:t>
            </w:r>
          </w:p>
        </w:tc>
        <w:tc>
          <w:tcPr>
            <w:tcW w:w="4819" w:type="dxa"/>
            <w:vMerge w:val="restart"/>
          </w:tcPr>
          <w:p w14:paraId="16652A31" w14:textId="64B7BB9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67733CF6" w14:textId="60FB0885"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această etapă nu se acceptă. Ca și prioritate, mai întâi urmează a dezvolta instrumente care să suțină antreprenorii ce doresc să se relanseze în afaceri.</w:t>
            </w:r>
          </w:p>
          <w:p w14:paraId="4AF6933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Aspecte de compensare a erorilor de management care au cauzat faliment - este necesar analize suplimentare privind impactul bugetar.</w:t>
            </w:r>
          </w:p>
          <w:p w14:paraId="707B7E3F" w14:textId="77777777" w:rsidR="00F3660E" w:rsidRPr="00502787" w:rsidRDefault="00F3660E" w:rsidP="00502787">
            <w:pPr>
              <w:jc w:val="both"/>
              <w:rPr>
                <w:rFonts w:ascii="Times New Roman" w:hAnsi="Times New Roman" w:cs="Times New Roman"/>
                <w:sz w:val="20"/>
                <w:szCs w:val="20"/>
                <w:lang w:val="ro-MD"/>
              </w:rPr>
            </w:pPr>
          </w:p>
          <w:p w14:paraId="4CA73717" w14:textId="4FB9B03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Referitor la co-finantarea datoriilor acumulate din credite investitionale, sunt mai multe aspecte. In contextul regulilor concurentei, si mentinerii echilibrului pe piata, sustinerea companiilor care au contractat credite la conditii dezavantajate, si nu au putut admisnitra eficient afacerea, urmeaza sa fie bine argumentata, pentru a nu dezavantaja companiile la administrarea carora nu au fost accesate surse financiare scumpe. Reforma Insolventa include o multime de elemente, de la registru dosarelor pina la modificari in cadru normativ, enumerarea detaliata carora nu ar aduce valoare documentului. </w:t>
            </w:r>
          </w:p>
        </w:tc>
      </w:tr>
      <w:tr w:rsidR="0024020C" w:rsidRPr="00502787" w14:paraId="4E3C35C1" w14:textId="77777777">
        <w:trPr>
          <w:trHeight w:val="5974"/>
        </w:trPr>
        <w:tc>
          <w:tcPr>
            <w:tcW w:w="556" w:type="dxa"/>
            <w:vMerge/>
          </w:tcPr>
          <w:p w14:paraId="05F6A8CF"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62B6B0F0"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5AED9A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u w:val="single"/>
                <w:lang w:val="ro-MD"/>
              </w:rPr>
              <w:t>Text propus</w:t>
            </w:r>
            <w:r w:rsidRPr="00502787">
              <w:rPr>
                <w:rFonts w:ascii="Times New Roman" w:eastAsiaTheme="minorEastAsia" w:hAnsi="Times New Roman" w:cs="Times New Roman"/>
                <w:sz w:val="20"/>
                <w:szCs w:val="20"/>
                <w:lang w:val="ro-MD"/>
              </w:rPr>
              <w:t>: Procedurile de insolvabilitate și faliment sunt optimizate prin revizuirea legislației relevante, lansarea programului de sprijin ”a doua șansă” pentru IMM, îmbunătățirea registrului cauzelor de insolvabilitate.</w:t>
            </w:r>
          </w:p>
          <w:p w14:paraId="6FE1B0A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Linia de referință: Doar câteva elemente de bază specifice conceptului de acordare a doua șansă pentru IMM-uri sunt în vigoare (de exemplu, exonerarea de datorii pentru antreprenorii</w:t>
            </w:r>
          </w:p>
          <w:p w14:paraId="40435C6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persoane fizice); nu există instrumente de avertizare timpurie; registrului cauzelor de insolvabilitate este în faza de start cu funcționalități de bază.</w:t>
            </w:r>
          </w:p>
          <w:p w14:paraId="733C8B9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Descrierea și definirea clară a ceea ce presupune fiecare etapă</w:t>
            </w:r>
          </w:p>
          <w:p w14:paraId="74C43E8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 baza unei revizuiri cuprinzătoare a cadrului actual de insolvență, MD va identifica ineficiențele procedurale, lacunele și domeniile necesare a fi digitalizate și va adopta modificări legislative pentru optimizarea procedurilor de insolvență, reducerea duratei procedurilor și îmbunătățirea protecției drepturilor creditorilor, inclusiv prin mărirea ratei de recuperare a creanțelor de către aceștia. Moldova va efectua o analiză comparativă a Legii insolvabilității nr. 149/2012 în raport cu Directiva 2019/1023 a UE și își va alinia cadrul intern la standardele UE, inclusiv politica celei de-a doua șanse, aprobarea instrumentelor de avertizare timpurie și programului de sprijin pentru IMM-urile aflate în dificultate financiară. De asemenea, vor fi aprobate dispoziții pentru o soluționarea mai rapidă a cazurilor, crearea unui sistem de colectare a datelor statistice aferente cauzelor de insolvabilitate și instituirea unor criterii uniforme pentru gestionarea acestor cauze. Va fi optimizat Registrul cauzelor de insolvabilitate pentru a asigura gestionarea transparentă și eficientă a cazurilor de insolvență și a procedurilor de vânzare a bunurilor din masa debitoare.</w:t>
            </w:r>
          </w:p>
          <w:p w14:paraId="27A09CA3" w14:textId="77777777" w:rsidR="00F3660E" w:rsidRPr="00502787" w:rsidRDefault="00F3660E" w:rsidP="00502787">
            <w:pPr>
              <w:jc w:val="both"/>
              <w:rPr>
                <w:rFonts w:ascii="Times New Roman" w:hAnsi="Times New Roman" w:cs="Times New Roman"/>
                <w:sz w:val="20"/>
                <w:szCs w:val="20"/>
                <w:lang w:val="ro-MD"/>
              </w:rPr>
            </w:pPr>
          </w:p>
        </w:tc>
        <w:tc>
          <w:tcPr>
            <w:tcW w:w="4819" w:type="dxa"/>
            <w:vMerge w:val="restart"/>
          </w:tcPr>
          <w:p w14:paraId="4D4DF56C" w14:textId="77777777" w:rsidR="00F3660E" w:rsidRPr="00502787" w:rsidRDefault="00F3660E" w:rsidP="00502787">
            <w:pPr>
              <w:jc w:val="both"/>
              <w:rPr>
                <w:rFonts w:ascii="Times New Roman" w:hAnsi="Times New Roman" w:cs="Times New Roman"/>
                <w:sz w:val="20"/>
                <w:szCs w:val="20"/>
                <w:lang w:val="ro-MD"/>
              </w:rPr>
            </w:pPr>
          </w:p>
          <w:p w14:paraId="42CD04C1"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3F0EC22C" w14:textId="77777777">
        <w:trPr>
          <w:trHeight w:val="1691"/>
        </w:trPr>
        <w:tc>
          <w:tcPr>
            <w:tcW w:w="556" w:type="dxa"/>
            <w:vMerge w:val="restart"/>
          </w:tcPr>
          <w:p w14:paraId="76E71E8D"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B8C0794"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60B721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60248E1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1.4. Textul propus: 85% din totalul serviciilor publice legate de afaceri sunt disponibile în format digital</w:t>
            </w:r>
          </w:p>
          <w:p w14:paraId="756C9306" w14:textId="77777777" w:rsidR="00F3660E" w:rsidRPr="00502787" w:rsidRDefault="00F3660E" w:rsidP="00502787">
            <w:pPr>
              <w:jc w:val="both"/>
              <w:rPr>
                <w:rFonts w:ascii="Times New Roman" w:hAnsi="Times New Roman" w:cs="Times New Roman"/>
                <w:sz w:val="20"/>
                <w:szCs w:val="20"/>
                <w:lang w:val="ro-MD"/>
              </w:rPr>
            </w:pPr>
          </w:p>
          <w:p w14:paraId="615138A0" w14:textId="77777777" w:rsidR="00F3660E" w:rsidRPr="00502787" w:rsidRDefault="00480C4A" w:rsidP="00502787">
            <w:pPr>
              <w:jc w:val="both"/>
              <w:rPr>
                <w:rFonts w:ascii="Times New Roman" w:eastAsiaTheme="minorEastAsia"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Creșterea de la 64% la doar 75% nu este suficient de ambițioasă, în special în contextul resurselor din Planul de creștere</w:t>
            </w:r>
          </w:p>
          <w:p w14:paraId="03F63E40" w14:textId="77777777" w:rsidR="00F3660E" w:rsidRPr="00502787" w:rsidRDefault="00F3660E" w:rsidP="00502787">
            <w:pPr>
              <w:jc w:val="both"/>
              <w:rPr>
                <w:rFonts w:ascii="Times New Roman" w:hAnsi="Times New Roman" w:cs="Times New Roman"/>
                <w:i/>
                <w:sz w:val="20"/>
                <w:szCs w:val="20"/>
                <w:lang w:val="ro-MD"/>
              </w:rPr>
            </w:pPr>
          </w:p>
        </w:tc>
        <w:tc>
          <w:tcPr>
            <w:tcW w:w="4819" w:type="dxa"/>
            <w:vMerge w:val="restart"/>
          </w:tcPr>
          <w:p w14:paraId="5BABDA62" w14:textId="2B600A8C"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6AE5D1D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Targetul din Agenda de reformă este stabilit în corespundere cu KPI-urile din Strategia de Transformare Digitală a Republicii Moldova 2023 -2030. Astfel, pentru sfârșitul anului 2027 obiectivul este 75%. Indicarea unui target mai „mai ambițios” ar duce la inconsistențe.</w:t>
            </w:r>
          </w:p>
          <w:p w14:paraId="0B61B94F" w14:textId="5C5E1AD3"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Mentionam, ca in procesul transpunerii Aquisului si implementarii Directivelor, precum si in procesul de dereglementare, se vor optimiza numarul serviciilor publice legate de activitatea de antreprenoriat. </w:t>
            </w:r>
          </w:p>
        </w:tc>
      </w:tr>
      <w:tr w:rsidR="0024020C" w:rsidRPr="00502787" w14:paraId="026B7CB4" w14:textId="77777777">
        <w:trPr>
          <w:trHeight w:val="562"/>
        </w:trPr>
        <w:tc>
          <w:tcPr>
            <w:tcW w:w="556" w:type="dxa"/>
            <w:vMerge w:val="restart"/>
          </w:tcPr>
          <w:p w14:paraId="343BEDD9"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A206BD4"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48D5A79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478B243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Măsura 2.5. Textul propus: </w:t>
            </w:r>
            <w:r w:rsidRPr="00502787">
              <w:rPr>
                <w:rFonts w:ascii="Times New Roman" w:eastAsiaTheme="minorEastAsia" w:hAnsi="Times New Roman" w:cs="Times New Roman"/>
                <w:sz w:val="20"/>
                <w:szCs w:val="20"/>
                <w:u w:val="single"/>
                <w:lang w:val="ro-MD"/>
              </w:rPr>
              <w:t xml:space="preserve">Condiția de plată și termenul de punere în aplicare. </w:t>
            </w:r>
            <w:r w:rsidRPr="00502787">
              <w:rPr>
                <w:rFonts w:ascii="Times New Roman" w:eastAsiaTheme="minorEastAsia" w:hAnsi="Times New Roman" w:cs="Times New Roman"/>
                <w:sz w:val="20"/>
                <w:szCs w:val="20"/>
                <w:lang w:val="ro-MD"/>
              </w:rPr>
              <w:t xml:space="preserve">Eficiența și impactul programelor de susținere a IMM implementate prin intermediul Organizației pentru Dezvoltarea Antreprenoriatului (ODA) sunt consolidate prin alinierea metodologiei de monitorizare și evaluare la cele mai bune practici, digitalizarea proceselor interne ale ODA și consolidarea capacităților de control intern și gestionare a riscurilor. Linia de referință: </w:t>
            </w:r>
            <w:r w:rsidRPr="00502787">
              <w:rPr>
                <w:rFonts w:ascii="Times New Roman" w:eastAsiaTheme="minorEastAsia" w:hAnsi="Times New Roman" w:cs="Times New Roman"/>
                <w:sz w:val="20"/>
                <w:szCs w:val="20"/>
                <w:lang w:val="ro-MD"/>
              </w:rPr>
              <w:lastRenderedPageBreak/>
              <w:t>Metodologia de evaluare a proiectelor nu este aliniată la metodologia OCDE, în timp ce gestionarea riscurilor financiare este subdezvoltată. Automatizarea proceselor interne ale ODA este limitată. Guvernanța și supravegherea ODA sunt corespunzătoare, Consiliul de supraveghere și experții externi făcând parte din Comitetul de finanțare și risc.</w:t>
            </w:r>
          </w:p>
          <w:p w14:paraId="3FF871E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Descrierea și definirea clară a ceea ce presupune fiecare etapă</w:t>
            </w:r>
          </w:p>
          <w:p w14:paraId="393749D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Eficiența și impactul programelor de susținere a IMM implementate prin intermediul ODA sunt consolidate prin intermediul următoarelor acțiuni: (i) cel puțin 5 programe de suport financiar nerambursabil (grant) sunt optimizate prin instituirea unui cadru unificat care simplifică procesul de aplicare și implementare a proiectelor investiționale de către antreprenori; (ii) Programele dedicate companiilor active sunt implementate în comun cu băncile comerciale; (iii) metodologia de monitorizare și evaluare a programelor ODA este aliniată la criteriile OCDE-DAC; (iv) metodologia de evaluare a proiectelor investiționale pune accent pe impactul proiectului asupra companiei, asupra economiei și bugetului de stat; (iv) managementul riscurilor financiare în procesul de implementare a programelor ODA este fortificat prin adoptarea unui manual de gestionare a riscurilor financiare; (v) digitalizarea ODA este asigurată prin:</w:t>
            </w:r>
          </w:p>
          <w:p w14:paraId="1917C40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un proces de aplicare la Programele ODA complet digital;</w:t>
            </w:r>
          </w:p>
          <w:p w14:paraId="3FC7DFA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lansarea unui sistem intern de gestionare a dosarelor la toate etapele (aplicare, evaluare, aprobare, implementare);</w:t>
            </w:r>
          </w:p>
          <w:p w14:paraId="71DB58A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integrarea sistemului informațional intern cu Mconnect și cu registrele publice relevante și cu infrastructura digitală EGOV;</w:t>
            </w:r>
          </w:p>
          <w:p w14:paraId="06E5538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lansarea unor module de analiză a datelor;</w:t>
            </w:r>
          </w:p>
          <w:p w14:paraId="26C2B09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lansarea unor module de monitorizare și raportare.</w:t>
            </w:r>
          </w:p>
          <w:p w14:paraId="15FE954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(vi) controlul intern și este consolidat prin intermediul cadrului de evaluare a riscurilor și prin înființarea unei unități separate pentru gestionarea riscurilor; (vii) cooperarea cu alte instituții publice de susținere a antreprenorilor este consolidată prin schimb de date.</w:t>
            </w:r>
          </w:p>
          <w:p w14:paraId="62B1DCF8" w14:textId="77777777" w:rsidR="00F3660E" w:rsidRPr="00502787" w:rsidRDefault="00F3660E" w:rsidP="00502787">
            <w:pPr>
              <w:jc w:val="both"/>
              <w:rPr>
                <w:rFonts w:ascii="Times New Roman" w:hAnsi="Times New Roman" w:cs="Times New Roman"/>
                <w:sz w:val="20"/>
                <w:szCs w:val="20"/>
                <w:lang w:val="ro-MD"/>
              </w:rPr>
            </w:pPr>
          </w:p>
          <w:p w14:paraId="5C7712EC"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Unificarea programelor de grant trebuie să țină cont de obiectivele acestora și poate fi realiztă după cum urmează:</w:t>
            </w:r>
          </w:p>
          <w:p w14:paraId="5F1DD919"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1. Programe de abilitare economică a unor categorii de populație (lansarea în afaceri) – tineri, femei, migranți și mici producători</w:t>
            </w:r>
          </w:p>
          <w:p w14:paraId="171E8D78"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2. Programe tematice de eficientizare a activității economice pentru companii active – digitalizare, ecologizare, inovare</w:t>
            </w:r>
          </w:p>
          <w:p w14:paraId="0A25F1F7"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3. Programe de creștere și internaționalizare – retehnologizare, internaționalizare</w:t>
            </w:r>
          </w:p>
          <w:p w14:paraId="6CC03B23"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4. Programe de dezvoltare sectorială – turism</w:t>
            </w:r>
          </w:p>
          <w:p w14:paraId="25A9A693"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 xml:space="preserve">În condițiile în care în foarte multe cazuri companiile apelează la credite bancare pentru asigurarea contribuției de resurse financiare proprii în cadrul proiectului investițional, atât compania cât și proiectul investițional este supus unei evaluări duble – de bancă și de ODA. Pentru a simplifica acest proces, programele ar </w:t>
            </w:r>
            <w:r w:rsidRPr="00502787">
              <w:rPr>
                <w:rFonts w:ascii="Times New Roman" w:eastAsiaTheme="minorEastAsia" w:hAnsi="Times New Roman" w:cs="Times New Roman"/>
                <w:i/>
                <w:iCs/>
                <w:sz w:val="20"/>
                <w:szCs w:val="20"/>
                <w:lang w:val="ro-MD"/>
              </w:rPr>
              <w:lastRenderedPageBreak/>
              <w:t>putea fi implementate în comun cu divizarea sarcinilor de evaluare – ex banca asigură evaluarea de risc de credit iar ODA alte aspecte de</w:t>
            </w:r>
          </w:p>
          <w:p w14:paraId="78682ECA"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conformitate și impact al proiectului investițional. Deciziiile de finanțare trebuie să fie aliniate obiectivelor politicilor economice de creștere a salariilor, a veniturilor la Bugetul de Stat și reducere a economiei informale. Riscurile financiare în cadrul ODA apar urmare implementării Programelor ODA și derivă din procesul de implementare a proiectelor investiționale de către antreprenori (riscul de credit și riscul de contrapartidă). Astfel, manualul de gestionare a riscurilor financiare trebuie să urmărească instituirea unor criterii clare și uniforme de monitorizare a implementării proiectelor investiționale de către antreprenori cu posibilitatea intervenției în caz de abatere.</w:t>
            </w:r>
          </w:p>
          <w:p w14:paraId="4FD7EFF8"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Multitudinea de programe de suport din partea statului, și mai ales numărul mare de instituții implementatoare (AIPA, ADMA, UIP ale Băncii Mondiale) creează precondiții de finanțare a proiectului investițional din diferite surse cu eludarea cerințelor privind jutorul de stat. Mai mult ca atât, posibilitatea ca un antreprenor să poată obține resurse financiare de la mai multe instituții pentru același proiect investițional amplifică riscurile enunțate. Prin urmare, devine foarte importantă implementarea unui registru comun de proiecte investiționale și</w:t>
            </w:r>
          </w:p>
          <w:p w14:paraId="2A1DEF36"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antreprenori finanțați.</w:t>
            </w:r>
          </w:p>
        </w:tc>
        <w:tc>
          <w:tcPr>
            <w:tcW w:w="4819" w:type="dxa"/>
            <w:vMerge w:val="restart"/>
          </w:tcPr>
          <w:p w14:paraId="596EB69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251B8460" w14:textId="593B10B2" w:rsidR="00F3660E" w:rsidRPr="00502787" w:rsidRDefault="00F3660E" w:rsidP="00502787">
            <w:pPr>
              <w:jc w:val="both"/>
              <w:rPr>
                <w:rFonts w:ascii="Times New Roman" w:hAnsi="Times New Roman" w:cs="Times New Roman"/>
                <w:sz w:val="20"/>
                <w:szCs w:val="20"/>
                <w:lang w:val="ro-MD"/>
              </w:rPr>
            </w:pPr>
          </w:p>
          <w:p w14:paraId="2BB221F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Vom ține cont de comentariile și propunerile cu privire la elementele care trebuie considerate în implementarea reformei asumate.</w:t>
            </w:r>
            <w:r w:rsidRPr="00502787">
              <w:rPr>
                <w:rFonts w:ascii="Times New Roman" w:hAnsi="Times New Roman" w:cs="Times New Roman"/>
                <w:sz w:val="20"/>
                <w:szCs w:val="20"/>
                <w:lang w:val="ro-MD"/>
              </w:rPr>
              <w:tab/>
            </w:r>
          </w:p>
          <w:p w14:paraId="6BCD7603" w14:textId="77777777" w:rsidR="00F3660E" w:rsidRPr="00502787" w:rsidRDefault="00F3660E" w:rsidP="00502787">
            <w:pPr>
              <w:jc w:val="both"/>
              <w:rPr>
                <w:rFonts w:ascii="Times New Roman" w:hAnsi="Times New Roman" w:cs="Times New Roman"/>
                <w:sz w:val="20"/>
                <w:szCs w:val="20"/>
                <w:lang w:val="ro-MD"/>
              </w:rPr>
            </w:pPr>
          </w:p>
          <w:p w14:paraId="4CA1DA3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MDED recunoaste si va implementa reforma ODA pentru a spori eficienta acesteia si contributia pentru atingerea obiectivelor Guvernului pentru mediu anteprenorial. Sunt intiate mai multe procese in acest context, de la diversificarea portofoliului ODA si ajustarea mai buna acestuia necesitatilor pietei, pina la eficientizarea proceselor care vor asigura reformarea institutiei.</w:t>
            </w:r>
          </w:p>
          <w:p w14:paraId="783E2056" w14:textId="7B683A36"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doreste ca toate interventiile statului prin intermediul insturmentelor ODA sa corespunda necesitatilor sectorului privat, astfel elaborarea si ajustarea acestor instrumente in conformitate cu cele ma</w:t>
            </w:r>
            <w:r w:rsidR="002441BB" w:rsidRPr="00502787">
              <w:rPr>
                <w:rFonts w:ascii="Times New Roman" w:hAnsi="Times New Roman" w:cs="Times New Roman"/>
                <w:sz w:val="20"/>
                <w:szCs w:val="20"/>
                <w:lang w:val="ro-MD"/>
              </w:rPr>
              <w:t>i bune practici este planificată</w:t>
            </w:r>
            <w:r w:rsidRPr="00502787">
              <w:rPr>
                <w:rFonts w:ascii="Times New Roman" w:hAnsi="Times New Roman" w:cs="Times New Roman"/>
                <w:sz w:val="20"/>
                <w:szCs w:val="20"/>
                <w:lang w:val="ro-MD"/>
              </w:rPr>
              <w:t>.</w:t>
            </w:r>
          </w:p>
        </w:tc>
      </w:tr>
      <w:tr w:rsidR="0024020C" w:rsidRPr="00502787" w14:paraId="3C5AECAD" w14:textId="77777777">
        <w:trPr>
          <w:trHeight w:val="562"/>
        </w:trPr>
        <w:tc>
          <w:tcPr>
            <w:tcW w:w="556" w:type="dxa"/>
            <w:vMerge w:val="restart"/>
          </w:tcPr>
          <w:p w14:paraId="709BC9C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23999119"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55602B8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65736DE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2.5. Textul actual: Cel puțin 5 mecanisme de sprijin sunt optimizate într-un singur cadru unificat pentru a simplifica cererile și a preveni suprapunerile.</w:t>
            </w:r>
          </w:p>
          <w:p w14:paraId="184D15A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Textul propus: Toate mecanismele de sprijin implementate de ODA, AIPA, ADMA, Livada Moldovei și altele sunt incluse într-un singur cadru unificat pentru a simplifica cererile și a preveni suprapunerile.</w:t>
            </w:r>
          </w:p>
          <w:p w14:paraId="6044B1D6"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Guvernul trebuie să dețină o viziune clară și consolidată privind ancorarea tuturor mecanismelor de sprijin conform obiectivelor de dezvoltare economică, iar suprapunerile trebuie evitate pentru absolut toate programele respective, dacă ne dorim utilizarea resurselor din Planul de creștere în mod eficient.</w:t>
            </w:r>
          </w:p>
        </w:tc>
        <w:tc>
          <w:tcPr>
            <w:tcW w:w="4819" w:type="dxa"/>
            <w:vMerge w:val="restart"/>
          </w:tcPr>
          <w:p w14:paraId="16523857" w14:textId="77777777" w:rsidR="0024020C"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Dezvolt</w:t>
            </w:r>
            <w:r w:rsidR="0024020C" w:rsidRPr="00502787">
              <w:rPr>
                <w:rFonts w:ascii="Times New Roman" w:hAnsi="Times New Roman" w:cs="Times New Roman"/>
                <w:sz w:val="20"/>
                <w:szCs w:val="20"/>
                <w:lang w:val="ro-MD"/>
              </w:rPr>
              <w:t>ării Economice și Digitalizării</w:t>
            </w:r>
          </w:p>
          <w:p w14:paraId="1CDBF8D6" w14:textId="0DFF4DA4"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Vom ține cont de comentariile și propunerile cu privire la elementele care trebuie considerate în implementarea reformei asumate.</w:t>
            </w:r>
          </w:p>
          <w:p w14:paraId="3DE5F07A" w14:textId="77777777" w:rsidR="00F3660E" w:rsidRPr="00502787" w:rsidRDefault="00F3660E" w:rsidP="00502787">
            <w:pPr>
              <w:jc w:val="both"/>
              <w:rPr>
                <w:rFonts w:ascii="Times New Roman" w:hAnsi="Times New Roman" w:cs="Times New Roman"/>
                <w:sz w:val="20"/>
                <w:szCs w:val="20"/>
                <w:lang w:val="ro-MD"/>
              </w:rPr>
            </w:pPr>
          </w:p>
          <w:p w14:paraId="7D19E3BD" w14:textId="432435A6"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Perspectiva Ministerului Agriculturii și Industriei Alimentare</w:t>
            </w:r>
            <w:r w:rsidR="00502787">
              <w:rPr>
                <w:rFonts w:ascii="Times New Roman" w:hAnsi="Times New Roman" w:cs="Times New Roman"/>
                <w:sz w:val="20"/>
                <w:szCs w:val="20"/>
                <w:lang w:val="ro-MD"/>
              </w:rPr>
              <w:t xml:space="preserve">, </w:t>
            </w:r>
            <w:r w:rsidRPr="00502787">
              <w:rPr>
                <w:rFonts w:ascii="Times New Roman" w:hAnsi="Times New Roman" w:cs="Times New Roman"/>
                <w:sz w:val="20"/>
                <w:szCs w:val="20"/>
                <w:lang w:val="ro-MD"/>
              </w:rPr>
              <w:t xml:space="preserve">AIPA, ADMA și Livada Moldovei prezintă mecanisme diferite de suport pentru antreprenorii din sectorul agricol și cel al industriei alimentare. </w:t>
            </w:r>
          </w:p>
          <w:p w14:paraId="6542D1C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Organizarea, sursele de finanțare, rigorile aplicate operațiunilor acestor instituții și programelor implementate de acestea nu sunt compatibile pentru unificare. Cu toate acestea, măsurile de suport oferite de aceste instituții sunt dezvoltate pentru a fi complementare sau alternative pentru grupul țintă de antreprenori. </w:t>
            </w:r>
          </w:p>
          <w:p w14:paraId="4F77A753"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00C61245" w14:textId="77777777">
        <w:trPr>
          <w:trHeight w:val="1782"/>
        </w:trPr>
        <w:tc>
          <w:tcPr>
            <w:tcW w:w="556" w:type="dxa"/>
            <w:vMerge w:val="restart"/>
          </w:tcPr>
          <w:p w14:paraId="0736744E"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4F188470"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A9DAE0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r w:rsidRPr="00502787">
              <w:rPr>
                <w:rFonts w:ascii="Times New Roman" w:hAnsi="Times New Roman" w:cs="Times New Roman"/>
                <w:sz w:val="20"/>
                <w:szCs w:val="20"/>
                <w:lang w:val="ro-MD"/>
              </w:rPr>
              <w:tab/>
            </w:r>
          </w:p>
          <w:p w14:paraId="0E2B221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2.5. Textul actual: Responsabilitatea și eficiența mecanismelor guvernamentale de sprijinire a IMM-urilor de către Organizația pentru Antreprenoriat ODA din Moldova sunt consolidate prin simplificarea mecanismelor de sprijinire a IMM-urilor, alinierea metodologiei de monitorizare și evaluare la cele mai bune practici, digitalizarea proceselor ODA și consolidarea capacităților de control intern și gestionare a riscurilor.</w:t>
            </w:r>
          </w:p>
          <w:p w14:paraId="27C8498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Textul propus: Responsabilitatea și eficiența mecanismelor guvernamentale de sprijinire a IMM-urilor de către Organizația pentru Antreprenoriat ODA din Moldova, precum și a fermierilor de către AIPA și ADMA sunt consolidate prin simplificarea mecanismelor de sprijinire, alinierea metodologiei de monitorizare și evaluare la cele mai bune practici, digitalizarea proceselor, consolidarea capacităților de control intern și gestionare a riscurilor,</w:t>
            </w:r>
          </w:p>
          <w:p w14:paraId="49BA03E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precum și asigurarea unui cadru independent și profesionist de evaluare a dosarelor de aplicare și adoptare a deciziilor de finanțare.</w:t>
            </w:r>
          </w:p>
          <w:p w14:paraId="0034ADC8"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Fortificarea guvernanței este necesară și la nivelul instituțiilor care acordă sprijin sectorului agricol, pentru a crea un cadru unificat și eficient de gestionare a resurselor direcționate sprijinirii antreprenorilor.</w:t>
            </w:r>
          </w:p>
        </w:tc>
        <w:tc>
          <w:tcPr>
            <w:tcW w:w="4819" w:type="dxa"/>
            <w:vMerge w:val="restart"/>
          </w:tcPr>
          <w:p w14:paraId="18E0EED8" w14:textId="66B49755"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0837997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Prevederile curente ale Planului de Creștere în ceea ce vizează sectoroul agroalimentar sunt fondate pe capacitarea AIPA de a implementa standarde de subvenționare și control conform standardelor și bunelor practici ale Uniunii Europene. </w:t>
            </w:r>
          </w:p>
          <w:p w14:paraId="5807C25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Astfel, Planul de Creștere are stabiliți indicatori care vizează:</w:t>
            </w:r>
          </w:p>
          <w:p w14:paraId="3CB6BE4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Dezvoltarea Registrului Fermierilor</w:t>
            </w:r>
          </w:p>
          <w:p w14:paraId="49AF42C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Dezvotlarea sistemului de Identificare a Parcelelor (LPIS)</w:t>
            </w:r>
          </w:p>
          <w:p w14:paraId="63A1859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Implementarea măsurilor de verificare și control</w:t>
            </w:r>
          </w:p>
          <w:p w14:paraId="468FB02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Instituirea măsurilor de condiționalitate și sancțiuni</w:t>
            </w:r>
          </w:p>
          <w:p w14:paraId="1165930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Toate acestea sunt menite pentru digitalizarea proceselor, mitigarea riscurilor și utilizarea eficientă a resurselor. </w:t>
            </w:r>
          </w:p>
        </w:tc>
      </w:tr>
      <w:tr w:rsidR="0024020C" w:rsidRPr="00502787" w14:paraId="14DC120B" w14:textId="77777777">
        <w:trPr>
          <w:trHeight w:val="562"/>
        </w:trPr>
        <w:tc>
          <w:tcPr>
            <w:tcW w:w="556" w:type="dxa"/>
            <w:vMerge w:val="restart"/>
          </w:tcPr>
          <w:p w14:paraId="49B78050"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FC24D17"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C1429F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2C9BEFC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2.8. Text propus: Condiția de plată și termenul depunere în aplicare. Accesul IMM la finanțare este facilitat prin intermediul programelor ODA după cum urmează: (i) îmbunătățirea procedurilor interne de activitate ale Fondului de Garantare a Creditelor (FGC); (ii) ajustarea produselor de garantare în vederea extinderii capacităților de împrumut ale IMM, în special cele orientate spre export și creare de valoarea adăugată înaltă; (iii) lansarea de produse noi în cadrul Fondului pentru Antreprenoriat și Creștere Economică a Moldovei (FACEM), pentru a permite furnizarea unei game mai largi de instrumente de acces la finanțare.</w:t>
            </w:r>
          </w:p>
          <w:p w14:paraId="754AA4E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Linia de referință: În 2024, FGC funcționează cu o gamă limitată de produse financiare, iar politicile interne trebuie să se alinieze la cele mai bune practici. FACEM, deși oferă sprijin financiar, are un domeniu de aplicare restrâns care nu răspunde pe deplin nevoilor financiare în continuă evoluție ale IMM-urilor. Nu sunt furnizate servicii de consultanță în afaceri.</w:t>
            </w:r>
          </w:p>
          <w:p w14:paraId="4BA4CBD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Descrierea și definirea clară a ceea ce presupune fiecare etapă. </w:t>
            </w:r>
          </w:p>
          <w:p w14:paraId="0C2CF19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 Procedurile interne ale FGC sunt îmbunătățite prin adoptarea unui nou riscurilor, a unui manual privind gestionarea riscurilor,nou manual de control intern, precum și a unor documente privind politica de investiții și politica privind produsele;</w:t>
            </w:r>
          </w:p>
          <w:p w14:paraId="333DED3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(ii) ajustarea produselor de garantare existente și lansarea a 2 noi produse de garantare în cadrul Fondului de Garantare a Creditelor;</w:t>
            </w:r>
          </w:p>
          <w:p w14:paraId="69C19D3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(iii) lansarea unui mecanism de garantare a exporturilor;</w:t>
            </w:r>
          </w:p>
          <w:p w14:paraId="43B8F8BC" w14:textId="28D5E505"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(iii) Lansarea a 2 noi produse financiare ale FACEM bazate pe împrumuturi la dobânzi fixe și reduse pentru investiții și un mecanism de împrumut pentru portofoliul de credite</w:t>
            </w:r>
            <w:r w:rsidR="00502787">
              <w:rPr>
                <w:rFonts w:ascii="Times New Roman" w:eastAsiaTheme="minorEastAsia" w:hAnsi="Times New Roman" w:cs="Times New Roman"/>
                <w:sz w:val="20"/>
                <w:szCs w:val="20"/>
                <w:lang w:val="ro-MD"/>
              </w:rPr>
              <w:t>.</w:t>
            </w:r>
          </w:p>
          <w:p w14:paraId="2A2B0F27" w14:textId="77777777" w:rsidR="00F3660E" w:rsidRPr="00502787" w:rsidRDefault="00F3660E" w:rsidP="00502787">
            <w:pPr>
              <w:jc w:val="both"/>
              <w:rPr>
                <w:rFonts w:ascii="Times New Roman" w:hAnsi="Times New Roman" w:cs="Times New Roman"/>
                <w:sz w:val="20"/>
                <w:szCs w:val="20"/>
                <w:lang w:val="ro-MD"/>
              </w:rPr>
            </w:pPr>
          </w:p>
          <w:p w14:paraId="50F1104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Comentariu:</w:t>
            </w:r>
            <w:r w:rsidRPr="00502787">
              <w:rPr>
                <w:rFonts w:ascii="Times New Roman" w:eastAsiaTheme="minorEastAsia" w:hAnsi="Times New Roman" w:cs="Times New Roman"/>
                <w:sz w:val="20"/>
                <w:szCs w:val="20"/>
                <w:lang w:val="ro-MD"/>
              </w:rPr>
              <w:t xml:space="preserve"> Produsele de garantare existente urmează a fi ajustate în corespundere cu celelalte programe ale ODA astfel încât garanțiile emise de FGC să poată susține obținerea resurselor financiare pentru contribuție proprie necesară în cadrul proiectelor investiționale.</w:t>
            </w:r>
          </w:p>
          <w:p w14:paraId="3FCA81B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Este necesară conectarea programelor de grant cu produsele FGC și FACEM astfel încât antreprenorul/ compania să poată în mod rapid obține resursele financiare necesare pentru întreg proiectul investițional. De asemenea, evaluarea companiei și a proiectului investițional ar fi realizată în mod eficient de bancă și unitățile ODA. Asigurarea unor produse sub forma de credite cu porțiune de grant. Nu este o acțiune de reformă. Este vorba doar de capitalizarea suplimentară a programului. Asta ar trebui acțiune separată, nu se referă la accesul la finanțare. Totodată ODA nu are capacitatea să ofere servicii de consultanță. ODA poate să finanțeze asemenea servicii în cadrul Programelor existente sau în cadrul unui program separat.</w:t>
            </w:r>
          </w:p>
        </w:tc>
        <w:tc>
          <w:tcPr>
            <w:tcW w:w="4819" w:type="dxa"/>
            <w:vMerge w:val="restart"/>
          </w:tcPr>
          <w:p w14:paraId="56DFBC7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367E4AC6" w14:textId="77777777" w:rsidR="00F3660E" w:rsidRPr="00502787" w:rsidRDefault="00F3660E" w:rsidP="00502787">
            <w:pPr>
              <w:jc w:val="both"/>
              <w:rPr>
                <w:rFonts w:ascii="Times New Roman" w:hAnsi="Times New Roman" w:cs="Times New Roman"/>
                <w:sz w:val="20"/>
                <w:szCs w:val="20"/>
                <w:lang w:val="ro-MD"/>
              </w:rPr>
            </w:pPr>
          </w:p>
          <w:p w14:paraId="26075AA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Sunt comentarii care sunt binevenite și pot fi considerate în procesul de implementare a reformelor propuse, dar nu trebuie să fie condiționalități de plată. </w:t>
            </w:r>
          </w:p>
          <w:p w14:paraId="032DB8E0" w14:textId="77777777" w:rsidR="00F3660E" w:rsidRPr="00502787" w:rsidRDefault="00F3660E" w:rsidP="00502787">
            <w:pPr>
              <w:jc w:val="both"/>
              <w:rPr>
                <w:rFonts w:ascii="Times New Roman" w:hAnsi="Times New Roman" w:cs="Times New Roman"/>
                <w:sz w:val="20"/>
                <w:szCs w:val="20"/>
                <w:lang w:val="ro-MD"/>
              </w:rPr>
            </w:pPr>
          </w:p>
          <w:p w14:paraId="5F9856F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Raspuns la comentariu: Eficientizarea operatiunilor ODA, alinierea insturmentelor, combinarea acestora, etc. fac parte din reforma ODA și nu se regasesc in aceasta masura.</w:t>
            </w:r>
          </w:p>
          <w:p w14:paraId="724D26F2"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158F15EE" w14:textId="77777777">
        <w:trPr>
          <w:trHeight w:val="562"/>
        </w:trPr>
        <w:tc>
          <w:tcPr>
            <w:tcW w:w="556" w:type="dxa"/>
            <w:vMerge w:val="restart"/>
          </w:tcPr>
          <w:p w14:paraId="59ACFAD9"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5C204247"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5C9B89C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5600F43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2.8. Textul actual: Operaționalizarea a 2 noi produse de garantare în cadrul Fondului de Garantare a Creditelor, inclusiv concentrarea asupra IMM-urilor orientate spre export.</w:t>
            </w:r>
          </w:p>
          <w:p w14:paraId="7DA62E9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Textul propus: Capitalizarea substanțială a FGC și programului FACEM, precum și focusarea programelor ODA pe sprijinul IMM care generează valoare adăugată sporită și sunt orientate spre export.</w:t>
            </w:r>
          </w:p>
          <w:p w14:paraId="01AEBF68" w14:textId="1E57EE53"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Comentariu: Creșterea economică este generată de valoarea adăugată, iar rolul statului, prin intermediul ODA, trebuie să fie susținerea întreprinderilor care investesc în procesarea materiei prime locale, producere cu nivel sporit de sofisticare tehnologică, vânzări/export de producție finită, automatizarea și modernizarea lanțurilor și proceselor de producție, digitalizare etc. Programul FACEM trebuie să fie promovat în regim prioritar, deoarece, spre deosebire de programul 373, creează o concurență sănătoasă sectorului bancar și creează premise sustenabile pentru creștere intermedierii financiare (subvenționarea dobânzilor în</w:t>
            </w:r>
            <w:r w:rsidR="00502787">
              <w:rPr>
                <w:rFonts w:ascii="Times New Roman" w:hAnsi="Times New Roman" w:cs="Times New Roman"/>
                <w:sz w:val="20"/>
                <w:szCs w:val="20"/>
                <w:lang w:val="ro-MD"/>
              </w:rPr>
              <w:t xml:space="preserve"> </w:t>
            </w:r>
            <w:r w:rsidRPr="00502787">
              <w:rPr>
                <w:rFonts w:ascii="Times New Roman" w:eastAsiaTheme="minorEastAsia" w:hAnsi="Times New Roman" w:cs="Times New Roman"/>
                <w:sz w:val="20"/>
                <w:szCs w:val="20"/>
                <w:lang w:val="ro-MD"/>
              </w:rPr>
              <w:t>cadrul programului 373 tinde s favorizeze băncile și menține status quo în ceea ce ține de piața produselor de creditare, dobânzile comerciale rămânând înalte).</w:t>
            </w:r>
          </w:p>
        </w:tc>
        <w:tc>
          <w:tcPr>
            <w:tcW w:w="4819" w:type="dxa"/>
            <w:vMerge w:val="restart"/>
          </w:tcPr>
          <w:p w14:paraId="27F1AD2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3F4A042D" w14:textId="66FAC5BB" w:rsidR="00F3660E" w:rsidRPr="00502787" w:rsidRDefault="002441BB"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Vom ține cont de comentariile și propunerile cu privire la elementele care trebuie considerate în implementarea reformei asumate </w:t>
            </w:r>
          </w:p>
        </w:tc>
      </w:tr>
      <w:tr w:rsidR="0024020C" w:rsidRPr="00502787" w14:paraId="71618700" w14:textId="77777777">
        <w:trPr>
          <w:trHeight w:val="1210"/>
        </w:trPr>
        <w:tc>
          <w:tcPr>
            <w:tcW w:w="556" w:type="dxa"/>
            <w:vMerge w:val="restart"/>
          </w:tcPr>
          <w:p w14:paraId="2D490E4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6B6545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BCEB2E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43B1EFD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Măsura 2.9. Textul propus: Accesul la finanțare prin subvenții pentru investiții pentru fermieri și operatori agroalimentari este îmbunătățit în cadrul Fondului național de dezvoltare a agriculturii și mediului rural, în conformitate cu noul program de subvenții care urmează să fie lansat și care prioritizează activitățile economice și investițiile care generează valoare adăugată sporită (procesarea materiei prime locale, producere cu nivel sporit de sofisticare tehnologică, </w:t>
            </w:r>
            <w:r w:rsidRPr="00502787">
              <w:rPr>
                <w:rFonts w:ascii="Times New Roman" w:eastAsiaTheme="minorEastAsia" w:hAnsi="Times New Roman" w:cs="Times New Roman"/>
                <w:sz w:val="20"/>
                <w:szCs w:val="20"/>
                <w:lang w:val="ro-MD"/>
              </w:rPr>
              <w:lastRenderedPageBreak/>
              <w:t>vânzări/export de producție finită, automatizarea și modernizarea lanțurilor și proceselor de producție, digitalizare etc). Guvernanța internă și procedurile de acordare a granturilor sunt eficientizate și profesionalizate similar cu cele din cadrul ODA. Numărul anual de beneficiari crește la cel puțin 500.</w:t>
            </w:r>
          </w:p>
          <w:p w14:paraId="1C4B775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Comentariu: Impactul pozitiv al Planului de creștere depinde de modul cum prioritizăm programele de sprijin, inclusiv în agricultură – prioritatea trebuie să susținerea investițiilor</w:t>
            </w:r>
          </w:p>
          <w:p w14:paraId="162EACE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care generează valoare adăugată, spre unica sursă sustenabilă de creștere economică rapidă. În plus, trebuie să avem aceleași abordări în ceea ce ține de calitatea guvernanței pentru toate instituțiile publice care acordă sprijin financiar, fie este ODA, AIPA, ADMA sau altele.</w:t>
            </w:r>
          </w:p>
        </w:tc>
        <w:tc>
          <w:tcPr>
            <w:tcW w:w="4819" w:type="dxa"/>
            <w:vMerge w:val="restart"/>
          </w:tcPr>
          <w:p w14:paraId="17AB373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Agriculturii și Industriei Alimentare</w:t>
            </w:r>
          </w:p>
          <w:p w14:paraId="39DA503B" w14:textId="71A2EC8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Cu toate că legea subvenționării nu este vizată direct de document, ea stă la baza reformelor in sectorul agroalimentar și va permite planificarea și susținerea proiectelor generatoare de valoare adăugată înaltă. Numărul beneficiarilor nu poate fi plafonat, acesta fiind </w:t>
            </w:r>
            <w:r w:rsidRPr="00502787">
              <w:rPr>
                <w:rFonts w:ascii="Times New Roman" w:hAnsi="Times New Roman" w:cs="Times New Roman"/>
                <w:sz w:val="20"/>
                <w:szCs w:val="20"/>
                <w:lang w:val="ro-MD"/>
              </w:rPr>
              <w:lastRenderedPageBreak/>
              <w:t xml:space="preserve">determinat de disponibilitatea agricultorilor și procesatorilor da a investi și de alocațiile budgetare. </w:t>
            </w:r>
          </w:p>
          <w:p w14:paraId="0744B1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Notă: numărul de 300 beneficiari inclus in Agenda de Reformă țintește un minim pentru grupurile istoric subreprezentate - start-up în agricultură, femei și tineri sub 40 de ani.</w:t>
            </w:r>
          </w:p>
        </w:tc>
      </w:tr>
      <w:tr w:rsidR="0024020C" w:rsidRPr="00502787" w14:paraId="116A4882" w14:textId="77777777">
        <w:trPr>
          <w:trHeight w:val="1210"/>
        </w:trPr>
        <w:tc>
          <w:tcPr>
            <w:tcW w:w="556" w:type="dxa"/>
            <w:vMerge w:val="restart"/>
          </w:tcPr>
          <w:p w14:paraId="4584F194"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83487DF"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324D25F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54B6582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2.9. Textul actual: Pentru a sprijini IMM-urile agricole, în cadrul Fondului național de dezvoltare a agriculturii și mediului rural, executat de AIPA, se îmbunătățește accesul la finanțare (contracte semnate cu AIPA).</w:t>
            </w:r>
          </w:p>
          <w:p w14:paraId="7260F82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Textul propus: Pentru a sprijini întreprinderile agricole, în cadrul Fondului național de dezvoltare a agriculturii și mediului rural, executat de AIPA, se îmbunătățește accesul la finanțare (contracte semnate cu AIPA) și se acordă prioritate clară investițiilor în</w:t>
            </w:r>
          </w:p>
          <w:p w14:paraId="0D1CF98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activități economice cu valoare adăugată sporită. În acest sens, se revizuie și criteriile de evaluare a dosarelor, prin integrarea indicatorilor de evaluare a impactului așteptat al investițiilor asupra generării de valoare adăugată și, respectiv, creșterea potențialului economiei naționale.</w:t>
            </w:r>
          </w:p>
          <w:p w14:paraId="2B9CEE7B"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Focusarea pe creșterea valorii adăugate trebuie acompaniată de integrarea principiilor de evaluare a impactului așteptat al măsurilor de sprijin, pentru a asigura punerea în aplicare a prioretizării respective.</w:t>
            </w:r>
          </w:p>
        </w:tc>
        <w:tc>
          <w:tcPr>
            <w:tcW w:w="4819" w:type="dxa"/>
            <w:vMerge w:val="restart"/>
          </w:tcPr>
          <w:p w14:paraId="3E75C0F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489AFAE9" w14:textId="1CF64E3B"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Cu toate că legea subvenționării nu este vizată direct de document, ea stă la baza reformelor in sectorul agroalimentar și va permite planificarea și susținerea proiectelor generatoare de valoare adăugată înaltă. Numărul beneficiarilor nu poate fi plafonat, acesta fiind determinat de disponibilitatea agricultorilor și procesatorilor da a investi și de alocațiile budgetare. </w:t>
            </w:r>
          </w:p>
          <w:p w14:paraId="7C98874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Notă: numărul de 300 beneficiari inclus in Agenda de Reformă țintește un minim pentru grupurile istoric subreprezentate - start-up în agricultură, femei și tineri sub 40 de ani.</w:t>
            </w:r>
          </w:p>
          <w:p w14:paraId="028A5EFA"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6677F73D" w14:textId="77777777">
        <w:trPr>
          <w:trHeight w:val="562"/>
        </w:trPr>
        <w:tc>
          <w:tcPr>
            <w:tcW w:w="556" w:type="dxa"/>
            <w:vMerge w:val="restart"/>
          </w:tcPr>
          <w:p w14:paraId="356C52B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7AEC6EC"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2712104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7B07EEC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2.11. Textul propus: Până în 2027, cel puțin 50 întreprinderi care au făcut investiții substanțiale în activiăți economice cu valoare adăugată înaltă beneficiază (contracte semnate) de noua schemă de ajutor de stat aliniată la standardele UE.</w:t>
            </w:r>
          </w:p>
          <w:p w14:paraId="7A611B57" w14:textId="77777777" w:rsidR="00F3660E" w:rsidRPr="00502787" w:rsidRDefault="00F3660E" w:rsidP="00502787">
            <w:pPr>
              <w:jc w:val="both"/>
              <w:rPr>
                <w:rFonts w:ascii="Times New Roman" w:hAnsi="Times New Roman" w:cs="Times New Roman"/>
                <w:sz w:val="20"/>
                <w:szCs w:val="20"/>
                <w:lang w:val="ro-MD"/>
              </w:rPr>
            </w:pPr>
          </w:p>
          <w:p w14:paraId="7A62D5F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Condiția de plată și termenul de punere în aplicare. Cel puțin 50 întreprinderi beneficiază (contracte semnate) în cadrul programului de ajutor de stat, aliniată la standardele UE.</w:t>
            </w:r>
          </w:p>
          <w:p w14:paraId="3CB713D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Linia de referință: Această schemă de ajutor de stat a intrat în vigoare la 1 ianuarie 2025.</w:t>
            </w:r>
          </w:p>
          <w:p w14:paraId="5681C28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Descrierea și definirea clară a ceea ce presupune fiecare etapă. Noua schemă de atragere a investițiilor este pe deplin conformă cu normele UE și este în concordanță cu Programul național de dezvoltare industrială pentru anii 2024-2028. Programul va atrage investiții de cel puțin 0,5 milioane EUR pentru fiecare proiect investițional. În cadrul programului, investițiile vor fi contractate în termen de 3 ani de la implementare.</w:t>
            </w:r>
          </w:p>
          <w:p w14:paraId="4B0F91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lastRenderedPageBreak/>
              <w:t>Comentariu: Obiectivul de 10 companii susținute este unul extrem de modest. Programul trebuie să monitorizeze sursa de finanțare investițiilor realizate de către companii, iar în cazul în care sunt resurse împrumutate prin intermediul FACEM, P373 sau FGC să se țină</w:t>
            </w:r>
          </w:p>
          <w:p w14:paraId="2F555AC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cont că acestea la fel sunt programe de ajutor din partea statului, respectiv intensitatea ajutorului de stat trebuie atent calculată.</w:t>
            </w:r>
          </w:p>
        </w:tc>
        <w:tc>
          <w:tcPr>
            <w:tcW w:w="4819" w:type="dxa"/>
            <w:vMerge w:val="restart"/>
          </w:tcPr>
          <w:p w14:paraId="7887E9C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111FF8D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Obiectivul de 10 companii beneficiare este setat în cadrul negocierilor cu Comisia Europeană pe marginea Planului de Creștere, drept pentru care orice modificare de indicatori trebuie renegociată cu UE. </w:t>
            </w:r>
            <w:r w:rsidRPr="00502787">
              <w:rPr>
                <w:rFonts w:ascii="Times New Roman" w:hAnsi="Times New Roman" w:cs="Times New Roman"/>
                <w:sz w:val="20"/>
                <w:szCs w:val="20"/>
                <w:lang w:val="ro-MD"/>
              </w:rPr>
              <w:br/>
              <w:t xml:space="preserve">Dincolo de procedura complexă prenotată, nu considerăm necesar un asemenea demers odată ce indicatorul este doar pentru anul 2025 și reprezintă un angajament de cel puțin 10 companii. </w:t>
            </w:r>
            <w:r w:rsidRPr="00502787">
              <w:rPr>
                <w:rFonts w:ascii="Times New Roman" w:hAnsi="Times New Roman" w:cs="Times New Roman"/>
                <w:sz w:val="20"/>
                <w:szCs w:val="20"/>
                <w:lang w:val="ro-MD"/>
              </w:rPr>
              <w:br/>
              <w:t>MDED vă asigură că obiectivul va fi realizat cu deplină măsură și, foarte probabil, până la sfârșitul anului 2027 vor exista 50 de beneficiari ai ajutorului de stat, oferit în conformitate cu schema de ajutor de stat regional pentru investiții, din moment ce deja au fost acordate sau sunt în examinare 5 cereri de acordare a ajutorului prenotat.</w:t>
            </w:r>
          </w:p>
          <w:p w14:paraId="129B2F73" w14:textId="10943E6C" w:rsidR="00F3660E" w:rsidRPr="00502787" w:rsidRDefault="00CA58C9"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w:t>
            </w:r>
            <w:r w:rsidR="00480C4A" w:rsidRPr="00502787">
              <w:rPr>
                <w:rFonts w:ascii="Times New Roman" w:hAnsi="Times New Roman" w:cs="Times New Roman"/>
                <w:sz w:val="20"/>
                <w:szCs w:val="20"/>
                <w:lang w:val="ro-MD"/>
              </w:rPr>
              <w:t xml:space="preserve">Totodată, cumularea ajutoarelor de stat sau de minimis oferite, este o obligație legală, nu doar o simplă </w:t>
            </w:r>
            <w:r w:rsidR="00480C4A" w:rsidRPr="00502787">
              <w:rPr>
                <w:rFonts w:ascii="Times New Roman" w:hAnsi="Times New Roman" w:cs="Times New Roman"/>
                <w:sz w:val="20"/>
                <w:szCs w:val="20"/>
                <w:lang w:val="ro-MD"/>
              </w:rPr>
              <w:lastRenderedPageBreak/>
              <w:t>recomandare, drept pentru care MDED, în calitate de furnizor al ajutorului de stat, este decis să „calculeze corect” ajutorul acordat.</w:t>
            </w:r>
          </w:p>
        </w:tc>
      </w:tr>
      <w:tr w:rsidR="0024020C" w:rsidRPr="00502787" w14:paraId="165A806B" w14:textId="77777777">
        <w:trPr>
          <w:trHeight w:val="562"/>
        </w:trPr>
        <w:tc>
          <w:tcPr>
            <w:tcW w:w="556" w:type="dxa"/>
            <w:vMerge w:val="restart"/>
          </w:tcPr>
          <w:p w14:paraId="2354BC4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4C880FC"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B09011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437AA18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Măsura 3.16. Textul propus: </w:t>
            </w:r>
            <w:r w:rsidRPr="00502787">
              <w:rPr>
                <w:rFonts w:ascii="Times New Roman" w:eastAsiaTheme="minorEastAsia" w:hAnsi="Times New Roman" w:cs="Times New Roman"/>
                <w:sz w:val="20"/>
                <w:szCs w:val="20"/>
                <w:u w:val="single"/>
                <w:lang w:val="ro-MD"/>
              </w:rPr>
              <w:t>Condiția de plată și termenul de punere în aplicare</w:t>
            </w:r>
          </w:p>
          <w:p w14:paraId="52935BE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Dezvoltarea pieței de capital este încurajată, în special prin consolidarea bursei de valori și a infrastructurii de post-comercializare și prin îmbunătățirea cadrului de reglementare privind protecția investitorilor.</w:t>
            </w:r>
          </w:p>
          <w:p w14:paraId="7A3AB9E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Linia de referință: (i) Bursa continuă să funcționeze într-un mediu învechit, fără acces de la distanță pentru participanții la piață și fără instrumente de analiză a datelor; (ii) dispozițiile legale privind drepturile investitorilor nu sunt aliniate la normele UE; (iii) conturile omnibus sunt posibile pentru toate societățile, cu excepția băncilor și a societăților de asigurări; nu există legături de depozitare cu Depozitarul Central al Valorilor Mobiliare din UE; (iv) capacitățile CNPF sunt consolidate</w:t>
            </w:r>
          </w:p>
          <w:p w14:paraId="39FA200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Descrierea și definirea clară a ceea ce presupune fiecare etapă</w:t>
            </w:r>
          </w:p>
          <w:p w14:paraId="4BAC131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Consolidarea pieței de capital presupune:</w:t>
            </w:r>
          </w:p>
          <w:p w14:paraId="23657C6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 Moldova dispune de o bursă operațională și funcțională care permite societăților să tranzacționeze eficient, introducând accesul de la distanță pentru participanții la piață, permițând ofertele publice inițiale, furnizând instrumente de date analitice pentru participanții la piață;</w:t>
            </w:r>
          </w:p>
          <w:p w14:paraId="0762387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(ii) Legislația privind piața de capital este modificată în conformitate cu normele UE pentru a spori protecția investitorilor în conformitate cu MIFID II a UE;</w:t>
            </w:r>
          </w:p>
          <w:p w14:paraId="5E1DC84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(iii) Depozitarul Central al Valorilor Mobiliare din Moldova implementează modelul de segregare omnibus pentru entitățile eligibile și stabilește legături de depozitare cu cel puțin un Depozitar Central al Valorilor Mobiliare cu sediul în UE;</w:t>
            </w:r>
          </w:p>
          <w:p w14:paraId="379A61A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(iv) Capacitățile CNPF sunt consolidate pentru a implementa supravegherea bazată pe riscuri, inclusiv prin instruirea personalului CNPF și elaborarea de documente de politică internă;</w:t>
            </w:r>
          </w:p>
          <w:p w14:paraId="38A2280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 stimularea dezvoltării instrumentelor pieței de capital prin susținerea accesării capitalului de către administratorii de fonduri, atât fonduri orientate spre investiții în capital (equity) cât</w:t>
            </w:r>
          </w:p>
          <w:p w14:paraId="3FE669E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și debt (obligațiuni corporative);</w:t>
            </w:r>
          </w:p>
          <w:p w14:paraId="0578FF0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(vi) dezvoltarea unui program de susține a companiilor care vor să acceadă la instrumentele pieței de capital;</w:t>
            </w:r>
          </w:p>
          <w:p w14:paraId="0DDCC06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(vii) transformarea Fondului pentru Antreprenoriat și Creștere Economică a Moldovei (FACEM) într-un fond de fonduri, astfel încât administratorii de fonduri de investiții să devină eligibili pentru obținerea de capital.</w:t>
            </w:r>
          </w:p>
          <w:p w14:paraId="68CD2759" w14:textId="77777777" w:rsidR="00F3660E" w:rsidRPr="00502787" w:rsidRDefault="00F3660E" w:rsidP="00502787">
            <w:pPr>
              <w:jc w:val="both"/>
              <w:rPr>
                <w:rFonts w:ascii="Times New Roman" w:hAnsi="Times New Roman" w:cs="Times New Roman"/>
                <w:sz w:val="20"/>
                <w:szCs w:val="20"/>
                <w:lang w:val="ro-MD"/>
              </w:rPr>
            </w:pPr>
          </w:p>
          <w:p w14:paraId="216B6091"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lastRenderedPageBreak/>
              <w:t>Comentariu: Aici ar fi nevoie de negociat perioade de tranziției în condițiile în care aplicarea MIFID II ar bloca și mai mult apariția participanților și instrumentelor pieței de capital. MIFID II este un cadru de reglementare în special pentru piețe mature. Administratorii de fonduri de investiții ar trebui să aibă posibilitatea obținerii de resurse financiare în cadrul Planului de creștere după modelul PNRR din România. Atsfel, administratori autorizați (naționali sau externi, persoane acceptate) ar putea obține resurse suplimentare pentru Fonduri de investiții în equity. Totodată, companiile din Moldova ar putea fi interesate mai degrabă de atragere de resurse financiare prin intermediul emisiunii de obligațiuni corporative decât instrumente de capital, respectiv și fondurile de obligațiuni la fel ar trebui incluse. Așa cum companiile autohtone au o expertiză limitată în ceea ce privește instrumentele pieței de capital, este nevoie de un Program de stat care să faciliteze consultanța și emisiunea de instrumente de capital, ex. garanții pentru investitori, compensarea costurilor emisiunii de obligațiuni corporatice ( exemplul FGC pentru credite și P373 pentru costul capitalului. În lipsa unor investitori instituționali pe piața de capital, apariția unor eventuale fonduri de investiții este blocată de lipsa capitalului. Astfel, FACE ar putea fi o sursă de capital pentru fondurile de investiții</w:t>
            </w:r>
          </w:p>
        </w:tc>
        <w:tc>
          <w:tcPr>
            <w:tcW w:w="4819" w:type="dxa"/>
            <w:vMerge w:val="restart"/>
          </w:tcPr>
          <w:p w14:paraId="13650431" w14:textId="2F6812B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255E7E14" w14:textId="77777777" w:rsidR="00F3660E" w:rsidRPr="00502787" w:rsidRDefault="00F3660E" w:rsidP="00502787">
            <w:pPr>
              <w:jc w:val="both"/>
              <w:rPr>
                <w:rFonts w:ascii="Times New Roman" w:hAnsi="Times New Roman" w:cs="Times New Roman"/>
                <w:sz w:val="20"/>
                <w:szCs w:val="20"/>
                <w:lang w:val="ro-MD"/>
              </w:rPr>
            </w:pPr>
          </w:p>
          <w:p w14:paraId="6590485E" w14:textId="0B3FCD5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La: </w:t>
            </w:r>
            <w:r w:rsidRPr="00502787">
              <w:rPr>
                <w:rFonts w:ascii="Times New Roman" w:hAnsi="Times New Roman" w:cs="Times New Roman"/>
                <w:sz w:val="20"/>
                <w:szCs w:val="20"/>
                <w:lang w:val="ro-MD"/>
              </w:rPr>
              <w:t xml:space="preserve">Măsura 3.16. Textul propus: </w:t>
            </w:r>
            <w:r w:rsidRPr="00502787">
              <w:rPr>
                <w:rFonts w:ascii="Times New Roman" w:hAnsi="Times New Roman" w:cs="Times New Roman"/>
                <w:sz w:val="20"/>
                <w:szCs w:val="20"/>
                <w:u w:val="single"/>
                <w:lang w:val="ro-MD"/>
              </w:rPr>
              <w:t>Condiția de plată și termenul de punere în aplicare</w:t>
            </w:r>
          </w:p>
          <w:p w14:paraId="6B352CBE" w14:textId="77777777" w:rsidR="00F3660E" w:rsidRPr="00502787" w:rsidRDefault="00F3660E" w:rsidP="00502787">
            <w:pPr>
              <w:jc w:val="both"/>
              <w:rPr>
                <w:rFonts w:ascii="Times New Roman" w:hAnsi="Times New Roman" w:cs="Times New Roman"/>
                <w:sz w:val="20"/>
                <w:szCs w:val="20"/>
                <w:lang w:val="ro-MD"/>
              </w:rPr>
            </w:pPr>
          </w:p>
          <w:p w14:paraId="720252C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Dezvoltarea pieței de capital este încurajată, în special prin susținerea companiilor, dezvoltării instrumentelor financiare noi, consolidarea bursei de valori și a infrastructurii de postcomercializare și prin îmbunătățirea cadrului de reglementare privind protecția investitorilor.</w:t>
            </w:r>
          </w:p>
          <w:p w14:paraId="5E2DBF4E" w14:textId="77777777" w:rsidR="00F3660E" w:rsidRPr="00502787" w:rsidRDefault="00F3660E" w:rsidP="00502787">
            <w:pPr>
              <w:jc w:val="both"/>
              <w:rPr>
                <w:rFonts w:ascii="Times New Roman" w:hAnsi="Times New Roman" w:cs="Times New Roman"/>
                <w:sz w:val="20"/>
                <w:szCs w:val="20"/>
                <w:lang w:val="ro-MD"/>
              </w:rPr>
            </w:pPr>
          </w:p>
          <w:p w14:paraId="53C60239" w14:textId="172B635E" w:rsidR="00F3660E" w:rsidRPr="00502787" w:rsidRDefault="00502787" w:rsidP="00502787">
            <w:pPr>
              <w:jc w:val="both"/>
              <w:rPr>
                <w:rFonts w:ascii="Times New Roman" w:hAnsi="Times New Roman" w:cs="Times New Roman"/>
                <w:sz w:val="20"/>
                <w:szCs w:val="20"/>
                <w:lang w:val="ro-MD"/>
              </w:rPr>
            </w:pPr>
            <w:r>
              <w:rPr>
                <w:rFonts w:ascii="Times New Roman" w:hAnsi="Times New Roman" w:cs="Times New Roman"/>
                <w:sz w:val="20"/>
                <w:szCs w:val="20"/>
                <w:lang w:val="ro-MD"/>
              </w:rPr>
              <w:t>Referitor l</w:t>
            </w:r>
            <w:r w:rsidR="00480C4A" w:rsidRPr="00502787">
              <w:rPr>
                <w:rFonts w:ascii="Times New Roman" w:hAnsi="Times New Roman" w:cs="Times New Roman"/>
                <w:sz w:val="20"/>
                <w:szCs w:val="20"/>
                <w:lang w:val="ro-MD"/>
              </w:rPr>
              <w:t>a: Descrierea și definirea clară a ceea ce presupune fiecare etapă</w:t>
            </w:r>
            <w:r>
              <w:rPr>
                <w:rFonts w:ascii="Times New Roman" w:hAnsi="Times New Roman" w:cs="Times New Roman"/>
                <w:sz w:val="20"/>
                <w:szCs w:val="20"/>
                <w:lang w:val="ro-MD"/>
              </w:rPr>
              <w:t xml:space="preserve"> c</w:t>
            </w:r>
            <w:r w:rsidR="00480C4A" w:rsidRPr="00502787">
              <w:rPr>
                <w:rFonts w:ascii="Times New Roman" w:hAnsi="Times New Roman" w:cs="Times New Roman"/>
                <w:sz w:val="20"/>
                <w:szCs w:val="20"/>
                <w:lang w:val="ro-MD"/>
              </w:rPr>
              <w:t>onsiderăm comasarea alineatelor (v) și (vi) în unul singur cu următarea redacție:</w:t>
            </w:r>
          </w:p>
          <w:p w14:paraId="6E50156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(v) program de susținere a companiilor care vor să acceadă la instrumentele pieței de capital, inclusiv prin facilitarea accesării capitalului de către administratorii de fonduri, atât fonduri orientate spre investiții în acțiuni cât și obligațiuni corporative;</w:t>
            </w:r>
          </w:p>
          <w:p w14:paraId="1152025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alineatul (vi): Propunerea dată ține doar parțial de CNPF, iar parțial este în aria de influență a MDED. Astfel, este acceptabilă propunerea în cazul în care MDED decide să transforme FACEM în fond de fonduri.</w:t>
            </w:r>
          </w:p>
          <w:p w14:paraId="40A0FB99" w14:textId="29F97A29"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w:t>
            </w:r>
          </w:p>
          <w:p w14:paraId="7AE0EFF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Într-adevăr, implementarea integrală și imediată a MIFID II într-un context precum cel al Republicii Moldova ar putea genera bariere suplimentare în dezvoltarea unei piețe de capital aflate încă în stadiu incipient.</w:t>
            </w:r>
          </w:p>
          <w:p w14:paraId="22632A0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Propunerea de a utiliza resurse dintr-un Plan de Creștere, similar PNRR-ului din România, pentru capitalizarea fondurilor de investiții autorizate (inclusiv fonduri de equity) este extrem de oportună.</w:t>
            </w:r>
          </w:p>
          <w:p w14:paraId="5150311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Totodată, este pe deplin justificată necesitatea unui program de stat dedicat sprijinirii emisiunilor de instrumente de capital, care ar putea include ,următoarele măsuri:</w:t>
            </w:r>
          </w:p>
          <w:p w14:paraId="0C777A4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asistență tehnică și consultanță pentru companii;</w:t>
            </w:r>
          </w:p>
          <w:p w14:paraId="5E9A972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garanții publice pentru investitori;</w:t>
            </w:r>
          </w:p>
          <w:p w14:paraId="6BA4ED0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subvenționarea costurilor aferente emisiunii.</w:t>
            </w:r>
          </w:p>
          <w:p w14:paraId="31264B8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Dezvoltarea pieței de capital presupune, în același timp, și consolidarea ecosistemului asociat — inclusiv susținerea companiilor de consultanță, implementarea campaniilor de informare și promovare, precum și încurajarea apariției de noi actori instituționali (statul, autoritățile locale, companiile de asigurări, fondurile de pensii etc.), care pot contribui la o dezvoltare organică și sustenabilă a pieței.</w:t>
            </w:r>
          </w:p>
          <w:p w14:paraId="252BA0F5" w14:textId="77777777" w:rsidR="00F3660E" w:rsidRPr="00502787" w:rsidRDefault="00F3660E" w:rsidP="00502787">
            <w:pPr>
              <w:jc w:val="both"/>
              <w:rPr>
                <w:rFonts w:ascii="Times New Roman" w:hAnsi="Times New Roman" w:cs="Times New Roman"/>
                <w:sz w:val="20"/>
                <w:szCs w:val="20"/>
                <w:lang w:val="ro-MD"/>
              </w:rPr>
            </w:pPr>
          </w:p>
          <w:p w14:paraId="15CA8B9B"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1E717F8B" w14:textId="77777777">
        <w:trPr>
          <w:trHeight w:val="5044"/>
        </w:trPr>
        <w:tc>
          <w:tcPr>
            <w:tcW w:w="556" w:type="dxa"/>
            <w:vMerge w:val="restart"/>
          </w:tcPr>
          <w:p w14:paraId="28FD4ACF"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82BBB0C"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0B378A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Aplicarea subvenționării țintite care să stimuleze modelarea mult mai pronunțată a comportamentului de producere al fermierilor pentru a respecta asolamentele și a se adapta la schimbările climaterice – în ciuda frecvenței tot mai mari a secetelor de care este afectată țara noastră, structura culturilor anuale continuă să fie dominată de porumb, grâu și floarea soarelui - culturi cu valoare adăugată redusă, care an de an au o pondere de 75-80%. În același timp, culturile cu valoare adăugată potențial mai mare - precum legumele, cartofii sau eterooleaginoasele</w:t>
            </w:r>
          </w:p>
          <w:p w14:paraId="6028687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Susținerea producătorilor autohtoni și promovarea identității de brand și de calitate a produselor locale – există în continuare o serie de produse tradiționale pentru care Republica Moldova nu este capabilă să își asigure pe deplin consumul intern cu producție proprie. Aceasta se întâmplă inclusiv pentru că produsele locale au în continuare un nivel redus de notorietate și conștientizare în rândul populației. Din acest motiv sunt necesare mai multe acțiuni care să conducă la i) implementarea unui sistem de management eficient în promovarea produselor agroalimentare, ii) îmbunătățirea politicii de calitate și valorificarea produselor agroalimentare moldovenești, dar și iii) Intensificarea asocierii producătorilor agricoli.</w:t>
            </w:r>
          </w:p>
        </w:tc>
        <w:tc>
          <w:tcPr>
            <w:tcW w:w="4819" w:type="dxa"/>
            <w:vMerge w:val="restart"/>
          </w:tcPr>
          <w:p w14:paraId="093CC09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w:t>
            </w:r>
          </w:p>
          <w:p w14:paraId="7E781ABE" w14:textId="742D0F14"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w:t>
            </w:r>
          </w:p>
          <w:p w14:paraId="60A6F60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Agenda de Reforme prevede alinierea treptată la bunele practici agricole ale UE. De asemenea, armonizarea cadrului legislativ național la cel al Uniunii Europene vizează implementarea standardelor de calitate, valorificarea produselor trandiționale moldovenești (IGP) și fortificarea mecanismelor de suport pentru asociațiile de producători. </w:t>
            </w:r>
          </w:p>
          <w:p w14:paraId="0038CF33"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6D1E1712" w14:textId="77777777">
        <w:trPr>
          <w:trHeight w:val="9334"/>
        </w:trPr>
        <w:tc>
          <w:tcPr>
            <w:tcW w:w="556" w:type="dxa"/>
            <w:vMerge/>
          </w:tcPr>
          <w:p w14:paraId="0336AAD4" w14:textId="77777777" w:rsidR="00F3660E" w:rsidRPr="00502787" w:rsidRDefault="00F3660E" w:rsidP="00502787">
            <w:pPr>
              <w:jc w:val="both"/>
              <w:rPr>
                <w:rFonts w:ascii="Times New Roman" w:hAnsi="Times New Roman" w:cs="Times New Roman"/>
                <w:sz w:val="20"/>
                <w:szCs w:val="20"/>
                <w:lang w:val="ro-MD"/>
              </w:rPr>
            </w:pPr>
          </w:p>
        </w:tc>
        <w:tc>
          <w:tcPr>
            <w:tcW w:w="2278" w:type="dxa"/>
            <w:vMerge/>
          </w:tcPr>
          <w:p w14:paraId="634432C6"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4A5CB2C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Recomandări conceptuale</w:t>
            </w:r>
          </w:p>
          <w:p w14:paraId="6142FC1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Revizuirea cadrului de restructurare a datoriilor - crizele multiple din ultimii ani au afectat grav capitalizarea multor firme care cu greu fac față datoriilor. Mai mult ca atât, imposibilitatea rambursării la timp a creditelor determină imposibilitatea accesării de noi credite și crește riscul de insolvabilitate. În acest sens, cadrul de insolvabilitatea trebuie ajustat pentru a le permite firmelor aflate în dificultăți financiare să își continuă activitatea prin proceduri adecvate de restructurare. Astfel, conceputul de ,,A doua șansă” poate ajuta companiile în situație financiară precară să depășească mai ușor și mai rapid această perioadă, iar implementarea unui sistem de indicatori de avertizare timpurie ar permite Guvernului să susțină acele companii viabile, dar care se confruntă cu probleme de lichiditate.</w:t>
            </w:r>
          </w:p>
          <w:p w14:paraId="61CD0379" w14:textId="77777777" w:rsidR="00F3660E" w:rsidRPr="00502787" w:rsidRDefault="00F3660E" w:rsidP="00502787">
            <w:pPr>
              <w:jc w:val="both"/>
              <w:rPr>
                <w:rFonts w:ascii="Times New Roman" w:hAnsi="Times New Roman" w:cs="Times New Roman"/>
                <w:sz w:val="20"/>
                <w:szCs w:val="20"/>
                <w:lang w:val="ro-MD"/>
              </w:rPr>
            </w:pPr>
          </w:p>
          <w:p w14:paraId="110B16FF" w14:textId="77777777" w:rsidR="00F3660E" w:rsidRPr="00502787" w:rsidRDefault="00F3660E" w:rsidP="00502787">
            <w:pPr>
              <w:jc w:val="both"/>
              <w:rPr>
                <w:rFonts w:ascii="Times New Roman" w:hAnsi="Times New Roman" w:cs="Times New Roman"/>
                <w:sz w:val="20"/>
                <w:szCs w:val="20"/>
                <w:lang w:val="ro-MD"/>
              </w:rPr>
            </w:pPr>
          </w:p>
          <w:p w14:paraId="717DE68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Ajustarea definiției IMM – inflația din ultimii ani a erodat criteriile definiției IMM astfel încât mai multe companii și-au pierdut sau riscă în scurt timp să-și piardă acest statut și, respectiv, posibilitatea de a obține suport prin programele de stat. În acest sens se impune revizuirea definiției IMM prin creșterea plafoanelor criteriului financiar (cifra de afaceri și total active), dar și includerea criteriului de afiliere dintre companii. Aceasta ar permite susținerea mai țintită prin programele de suport precum și orientarea suportului acordat către acele IMM-uri care cu adevărat au nevoie. Definiția IMM este un instrument de identificare a acelor întreprinderi care se confruntă cu eșecurile pieței și provocări specifice din cauza mărimii lor și, prin urmare, pot beneficia de suport public preferențial în raport cu ceilalți agenți economici.</w:t>
            </w:r>
          </w:p>
          <w:p w14:paraId="060214ED" w14:textId="77777777" w:rsidR="00F3660E" w:rsidRPr="00502787" w:rsidRDefault="00F3660E" w:rsidP="00502787">
            <w:pPr>
              <w:jc w:val="both"/>
              <w:rPr>
                <w:rFonts w:ascii="Times New Roman" w:hAnsi="Times New Roman" w:cs="Times New Roman"/>
                <w:sz w:val="20"/>
                <w:szCs w:val="20"/>
                <w:lang w:val="ro-MD"/>
              </w:rPr>
            </w:pPr>
          </w:p>
          <w:p w14:paraId="18E9850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•Aplicarea subvenționării țintite care să stimuleze modelarea mult mai pronunțată a comportamentului de producere al fermierilor pentru a respecta asolamentele și a se adapta la schimbările climaterice – în ciuda frecvenței tot mai mari a secetelor de care este afectată țara noastră, structura culturilor anuale continuă să fie dominată de porumb, grâu și floarea soarelui - culturi cu valoare adăugată redusă, care an de an au o pondere de 75-80%. În același timp, culturile cu valoare adăugată potențial mai mare - precum legumele, cartofii sau eterooleaginoasele - rămân cu ponderi reduse. Aceasta, deoarece respectivele culturi rămân în mare parte o preocupare a sectorului individual, nefiind atractive sectorului corporativ din cauza nevoii mai mari de forță de muncă, dar și a lipsei unor stimulente diferențiate în raport cu celelalte culturi. Aplicarea unor stimulente diferențiate pentru culturile cu valoare adăugată ridicată și a celor rezistente la secetă trebuie să constituie prioritatea numărul unu în politicile de subvenționare.</w:t>
            </w:r>
          </w:p>
          <w:p w14:paraId="51A0B7C7" w14:textId="77777777" w:rsidR="00F3660E" w:rsidRPr="00502787" w:rsidRDefault="00F3660E" w:rsidP="00502787">
            <w:pPr>
              <w:jc w:val="both"/>
              <w:rPr>
                <w:rFonts w:ascii="Times New Roman" w:hAnsi="Times New Roman" w:cs="Times New Roman"/>
                <w:sz w:val="20"/>
                <w:szCs w:val="20"/>
                <w:lang w:val="ro-MD"/>
              </w:rPr>
            </w:pPr>
          </w:p>
          <w:p w14:paraId="1DB7388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Pentru măsurile post-investiționale, care la moment consumă 75-80% din fondul de subvenționare, pe lângă aspectul de conformitate, se impune și aplicarea fezabilității economice a proiectelor subvenționate - de exemplu, construcția unui </w:t>
            </w:r>
            <w:r w:rsidRPr="00502787">
              <w:rPr>
                <w:rFonts w:ascii="Times New Roman" w:eastAsiaTheme="minorEastAsia" w:hAnsi="Times New Roman" w:cs="Times New Roman"/>
                <w:sz w:val="20"/>
                <w:szCs w:val="20"/>
                <w:lang w:val="ro-MD"/>
              </w:rPr>
              <w:lastRenderedPageBreak/>
              <w:t>depozit frigorific ține cont într-o mică măsură de potențialul de valorificare al acestuia, iar deseori putem întâlni pe de o parte depozite semi-goale, iar pe de altă parte fermieri care suferă din cauza lipsei spațiilor de stocare a producției în extra-sezon. Astfel, este necesar extinderea cadrului de evaluare a proiectelor pentru a se asigura că banii publici sunt direcționați în proiecte durabile care sunt aliniate la prioritățile strategice. Totodată, pentru proiecte post-investiționale mici până la o anumită valoarevalsare (de exemplu: 300 mii lei), evaluarea complexă poate fi exclusă sau simplificată la maximum pentru a susține micii producători.</w:t>
            </w:r>
          </w:p>
          <w:p w14:paraId="18FFF706" w14:textId="77777777" w:rsidR="00F3660E" w:rsidRPr="00502787" w:rsidRDefault="00F3660E" w:rsidP="00502787">
            <w:pPr>
              <w:jc w:val="both"/>
              <w:rPr>
                <w:rFonts w:ascii="Times New Roman" w:hAnsi="Times New Roman" w:cs="Times New Roman"/>
                <w:sz w:val="20"/>
                <w:szCs w:val="20"/>
                <w:lang w:val="ro-MD"/>
              </w:rPr>
            </w:pPr>
          </w:p>
          <w:p w14:paraId="2EB4573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Reintroducerea principiului „Primul venit, primul servit” în acordarea subvențiilor - de exemplu, în 2023, au fost depuse cereri de finanțare pentru subvenționarea post-investiție în sumă de 1,31 miliarde de lei, din care, din contul resurselor bugetului de stat pentru anul respectiv, nu a fost finanțat niciun proiect. În consecință, din suma de 1,6 miliarde de lei, alocată în bugetul anului 2024, doar pentru acoperirea cererilor depuse în 2023 urmau a fi alocate 1,31 miliarde de lei (81,8% din total). Această situație, pe lângă faptul că este o derogare de la principiile finanțelor publice, reprezintă și un handicap - mai ales pentru fermierii mici, care sunt nevoiți să aștepte și peste un an de zile pentru a primi subvenția de la stat.</w:t>
            </w:r>
          </w:p>
          <w:p w14:paraId="57823E4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Îmbunătățirea urgentă a guvernanței sectorului agricol - fiind deja în anul 2025, sectorul încă nu dispune de un Program de implementare a Strategiei naționale de dezvoltare agricolă și rurală pentru anii 2023-2030, care a fost aprobată încă la începutul anului 2023. Fără un program de implementare, coerența și predictibilitatea politicilor agricole nu poate fi asigurată. În același timp, în toată perioada actualei guvernări conducerea AIPA a fost exercitată exclusiv prin interimat, iar guvernanța instituțională nu a fost îmbunătățită. În acest, recomandăm aplicarea unui model de guvernanță bazat pe eficiență și transparență, precum și schimbarea modelului de finanțare a instituției și revenirea la mecanismul de finanțare anterior, care se baza pe finanțarea instituției din contul fondului de subvenționare, care ar permite salarii competitive, atragerea și menținerea specialiștilor.</w:t>
            </w:r>
          </w:p>
          <w:p w14:paraId="3A9D1D10" w14:textId="77777777" w:rsidR="00F3660E" w:rsidRPr="00502787" w:rsidRDefault="00F3660E" w:rsidP="00502787">
            <w:pPr>
              <w:jc w:val="both"/>
              <w:rPr>
                <w:rFonts w:ascii="Times New Roman" w:hAnsi="Times New Roman" w:cs="Times New Roman"/>
                <w:sz w:val="20"/>
                <w:szCs w:val="20"/>
                <w:lang w:val="ro-MD"/>
              </w:rPr>
            </w:pPr>
          </w:p>
          <w:p w14:paraId="3870C9C7" w14:textId="77777777" w:rsidR="00F3660E" w:rsidRPr="00502787" w:rsidRDefault="00F3660E" w:rsidP="00502787">
            <w:pPr>
              <w:jc w:val="both"/>
              <w:rPr>
                <w:rFonts w:ascii="Times New Roman" w:eastAsiaTheme="minorEastAsia" w:hAnsi="Times New Roman" w:cs="Times New Roman"/>
                <w:sz w:val="20"/>
                <w:szCs w:val="20"/>
                <w:lang w:val="ro-MD"/>
              </w:rPr>
            </w:pPr>
          </w:p>
          <w:p w14:paraId="59F99E66" w14:textId="77777777" w:rsidR="00F3660E" w:rsidRPr="00502787" w:rsidRDefault="00F3660E" w:rsidP="00502787">
            <w:pPr>
              <w:jc w:val="both"/>
              <w:rPr>
                <w:rFonts w:ascii="Times New Roman" w:eastAsiaTheme="minorEastAsia" w:hAnsi="Times New Roman" w:cs="Times New Roman"/>
                <w:sz w:val="20"/>
                <w:szCs w:val="20"/>
                <w:lang w:val="ro-MD"/>
              </w:rPr>
            </w:pPr>
          </w:p>
          <w:p w14:paraId="583E975B" w14:textId="77777777" w:rsidR="00F3660E" w:rsidRPr="00502787" w:rsidRDefault="00F3660E" w:rsidP="00502787">
            <w:pPr>
              <w:jc w:val="both"/>
              <w:rPr>
                <w:rFonts w:ascii="Times New Roman" w:eastAsiaTheme="minorEastAsia" w:hAnsi="Times New Roman" w:cs="Times New Roman"/>
                <w:sz w:val="20"/>
                <w:szCs w:val="20"/>
                <w:lang w:val="ro-MD"/>
              </w:rPr>
            </w:pPr>
          </w:p>
          <w:p w14:paraId="744151E7" w14:textId="77777777" w:rsidR="00F3660E" w:rsidRPr="00502787" w:rsidRDefault="00F3660E" w:rsidP="00502787">
            <w:pPr>
              <w:jc w:val="both"/>
              <w:rPr>
                <w:rFonts w:ascii="Times New Roman" w:eastAsiaTheme="minorEastAsia" w:hAnsi="Times New Roman" w:cs="Times New Roman"/>
                <w:sz w:val="20"/>
                <w:szCs w:val="20"/>
                <w:lang w:val="ro-MD"/>
              </w:rPr>
            </w:pPr>
          </w:p>
          <w:p w14:paraId="08EFEE94" w14:textId="77777777" w:rsidR="00F3660E" w:rsidRPr="00502787" w:rsidRDefault="00F3660E" w:rsidP="00502787">
            <w:pPr>
              <w:jc w:val="both"/>
              <w:rPr>
                <w:rFonts w:ascii="Times New Roman" w:eastAsiaTheme="minorEastAsia" w:hAnsi="Times New Roman" w:cs="Times New Roman"/>
                <w:sz w:val="20"/>
                <w:szCs w:val="20"/>
                <w:lang w:val="ro-MD"/>
              </w:rPr>
            </w:pPr>
          </w:p>
          <w:p w14:paraId="77A0475A" w14:textId="77777777" w:rsidR="00F3660E" w:rsidRPr="00502787" w:rsidRDefault="00F3660E" w:rsidP="00502787">
            <w:pPr>
              <w:jc w:val="both"/>
              <w:rPr>
                <w:rFonts w:ascii="Times New Roman" w:eastAsiaTheme="minorEastAsia" w:hAnsi="Times New Roman" w:cs="Times New Roman"/>
                <w:sz w:val="20"/>
                <w:szCs w:val="20"/>
                <w:lang w:val="ro-MD"/>
              </w:rPr>
            </w:pPr>
          </w:p>
          <w:p w14:paraId="5ADE529C" w14:textId="77777777" w:rsidR="00F3660E" w:rsidRPr="00502787" w:rsidRDefault="00F3660E" w:rsidP="00502787">
            <w:pPr>
              <w:jc w:val="both"/>
              <w:rPr>
                <w:rFonts w:ascii="Times New Roman" w:eastAsiaTheme="minorEastAsia" w:hAnsi="Times New Roman" w:cs="Times New Roman"/>
                <w:sz w:val="20"/>
                <w:szCs w:val="20"/>
                <w:lang w:val="ro-MD"/>
              </w:rPr>
            </w:pPr>
          </w:p>
          <w:p w14:paraId="1E1421E3" w14:textId="77777777" w:rsidR="00F3660E" w:rsidRPr="00502787" w:rsidRDefault="00F3660E" w:rsidP="00502787">
            <w:pPr>
              <w:jc w:val="both"/>
              <w:rPr>
                <w:rFonts w:ascii="Times New Roman" w:eastAsiaTheme="minorEastAsia" w:hAnsi="Times New Roman" w:cs="Times New Roman"/>
                <w:sz w:val="20"/>
                <w:szCs w:val="20"/>
                <w:lang w:val="ro-MD"/>
              </w:rPr>
            </w:pPr>
          </w:p>
          <w:p w14:paraId="0564B492" w14:textId="77777777" w:rsidR="00F3660E" w:rsidRPr="00502787" w:rsidRDefault="00F3660E" w:rsidP="00502787">
            <w:pPr>
              <w:jc w:val="both"/>
              <w:rPr>
                <w:rFonts w:ascii="Times New Roman" w:eastAsiaTheme="minorEastAsia" w:hAnsi="Times New Roman" w:cs="Times New Roman"/>
                <w:sz w:val="20"/>
                <w:szCs w:val="20"/>
                <w:lang w:val="ro-MD"/>
              </w:rPr>
            </w:pPr>
          </w:p>
          <w:p w14:paraId="036FF3E0" w14:textId="77777777" w:rsidR="00F3660E" w:rsidRPr="00502787" w:rsidRDefault="00F3660E" w:rsidP="00502787">
            <w:pPr>
              <w:jc w:val="both"/>
              <w:rPr>
                <w:rFonts w:ascii="Times New Roman" w:eastAsiaTheme="minorEastAsia" w:hAnsi="Times New Roman" w:cs="Times New Roman"/>
                <w:sz w:val="20"/>
                <w:szCs w:val="20"/>
                <w:lang w:val="ro-MD"/>
              </w:rPr>
            </w:pPr>
          </w:p>
          <w:p w14:paraId="78EB79A4" w14:textId="77777777" w:rsidR="00F3660E" w:rsidRPr="00502787" w:rsidRDefault="00F3660E" w:rsidP="00502787">
            <w:pPr>
              <w:jc w:val="both"/>
              <w:rPr>
                <w:rFonts w:ascii="Times New Roman" w:eastAsiaTheme="minorEastAsia" w:hAnsi="Times New Roman" w:cs="Times New Roman"/>
                <w:sz w:val="20"/>
                <w:szCs w:val="20"/>
                <w:lang w:val="ro-MD"/>
              </w:rPr>
            </w:pPr>
          </w:p>
          <w:p w14:paraId="7CA67B4A" w14:textId="77777777" w:rsidR="00F3660E" w:rsidRPr="00502787" w:rsidRDefault="00F3660E" w:rsidP="00502787">
            <w:pPr>
              <w:jc w:val="both"/>
              <w:rPr>
                <w:rFonts w:ascii="Times New Roman" w:eastAsiaTheme="minorEastAsia" w:hAnsi="Times New Roman" w:cs="Times New Roman"/>
                <w:sz w:val="20"/>
                <w:szCs w:val="20"/>
                <w:lang w:val="ro-MD"/>
              </w:rPr>
            </w:pPr>
          </w:p>
          <w:p w14:paraId="19D4C9AF" w14:textId="77777777" w:rsidR="00F3660E" w:rsidRPr="00502787" w:rsidRDefault="00F3660E" w:rsidP="00502787">
            <w:pPr>
              <w:jc w:val="both"/>
              <w:rPr>
                <w:rFonts w:ascii="Times New Roman" w:eastAsiaTheme="minorEastAsia" w:hAnsi="Times New Roman" w:cs="Times New Roman"/>
                <w:sz w:val="20"/>
                <w:szCs w:val="20"/>
                <w:lang w:val="ro-MD"/>
              </w:rPr>
            </w:pPr>
          </w:p>
          <w:p w14:paraId="134A0589" w14:textId="77777777" w:rsidR="00F3660E" w:rsidRPr="00502787" w:rsidRDefault="00F3660E" w:rsidP="00502787">
            <w:pPr>
              <w:jc w:val="both"/>
              <w:rPr>
                <w:rFonts w:ascii="Times New Roman" w:eastAsiaTheme="minorEastAsia" w:hAnsi="Times New Roman" w:cs="Times New Roman"/>
                <w:sz w:val="20"/>
                <w:szCs w:val="20"/>
                <w:lang w:val="ro-MD"/>
              </w:rPr>
            </w:pPr>
          </w:p>
          <w:p w14:paraId="19C30CC6" w14:textId="77777777" w:rsidR="00F3660E" w:rsidRPr="00502787" w:rsidRDefault="00480C4A" w:rsidP="00502787">
            <w:pPr>
              <w:jc w:val="both"/>
              <w:rPr>
                <w:rFonts w:ascii="Times New Roman" w:eastAsiaTheme="minorEastAsia" w:hAnsi="Times New Roman" w:cs="Times New Roman"/>
                <w:sz w:val="20"/>
                <w:szCs w:val="20"/>
                <w:lang w:val="ro-MD"/>
              </w:rPr>
            </w:pPr>
            <w:r w:rsidRPr="00502787">
              <w:rPr>
                <w:rFonts w:ascii="Times New Roman" w:eastAsiaTheme="minorEastAsia" w:hAnsi="Times New Roman" w:cs="Times New Roman"/>
                <w:sz w:val="20"/>
                <w:szCs w:val="20"/>
                <w:lang w:val="ro-MD"/>
              </w:rPr>
              <w:t>• Investiții în cercetarea din agricultură – instituțiile de cercetare din domeniu rămân în mare parte în condiții derizorii de activitate. În condițiile în care efectul schimbărilor climatice este tot mai pronunțat, sistemul de cercetare este vital pentru adaptarea speciilor și soiurilor la condițiile locale.</w:t>
            </w:r>
          </w:p>
          <w:p w14:paraId="6ACDBDA7" w14:textId="77777777" w:rsidR="00F3660E" w:rsidRPr="00502787" w:rsidRDefault="00F3660E" w:rsidP="00502787">
            <w:pPr>
              <w:jc w:val="both"/>
              <w:rPr>
                <w:rFonts w:ascii="Times New Roman" w:hAnsi="Times New Roman" w:cs="Times New Roman"/>
                <w:sz w:val="20"/>
                <w:szCs w:val="20"/>
                <w:lang w:val="ro-MD"/>
              </w:rPr>
            </w:pPr>
          </w:p>
          <w:p w14:paraId="71F19292" w14:textId="77777777" w:rsidR="00F3660E" w:rsidRPr="00502787" w:rsidRDefault="00F3660E" w:rsidP="00502787">
            <w:pPr>
              <w:jc w:val="both"/>
              <w:rPr>
                <w:rFonts w:ascii="Times New Roman" w:eastAsiaTheme="minorEastAsia" w:hAnsi="Times New Roman" w:cs="Times New Roman"/>
                <w:sz w:val="20"/>
                <w:szCs w:val="20"/>
                <w:lang w:val="ro-MD"/>
              </w:rPr>
            </w:pPr>
          </w:p>
          <w:p w14:paraId="5B90E240" w14:textId="77777777" w:rsidR="00F3660E" w:rsidRPr="00502787" w:rsidRDefault="00F3660E" w:rsidP="00502787">
            <w:pPr>
              <w:jc w:val="both"/>
              <w:rPr>
                <w:rFonts w:ascii="Times New Roman" w:eastAsiaTheme="minorEastAsia" w:hAnsi="Times New Roman" w:cs="Times New Roman"/>
                <w:sz w:val="20"/>
                <w:szCs w:val="20"/>
                <w:lang w:val="ro-MD"/>
              </w:rPr>
            </w:pPr>
          </w:p>
          <w:p w14:paraId="60448ACA" w14:textId="77777777" w:rsidR="00F3660E" w:rsidRPr="00502787" w:rsidRDefault="00F3660E" w:rsidP="00502787">
            <w:pPr>
              <w:jc w:val="both"/>
              <w:rPr>
                <w:rFonts w:ascii="Times New Roman" w:eastAsiaTheme="minorEastAsia" w:hAnsi="Times New Roman" w:cs="Times New Roman"/>
                <w:sz w:val="20"/>
                <w:szCs w:val="20"/>
                <w:lang w:val="ro-MD"/>
              </w:rPr>
            </w:pPr>
          </w:p>
          <w:p w14:paraId="408D438B" w14:textId="77777777" w:rsidR="00F3660E" w:rsidRPr="00502787" w:rsidRDefault="00F3660E" w:rsidP="00502787">
            <w:pPr>
              <w:jc w:val="both"/>
              <w:rPr>
                <w:rFonts w:ascii="Times New Roman" w:eastAsiaTheme="minorEastAsia" w:hAnsi="Times New Roman" w:cs="Times New Roman"/>
                <w:sz w:val="20"/>
                <w:szCs w:val="20"/>
                <w:lang w:val="ro-MD"/>
              </w:rPr>
            </w:pPr>
          </w:p>
          <w:p w14:paraId="06651560" w14:textId="77777777" w:rsidR="00F3660E" w:rsidRPr="00502787" w:rsidRDefault="00F3660E" w:rsidP="00502787">
            <w:pPr>
              <w:jc w:val="both"/>
              <w:rPr>
                <w:rFonts w:ascii="Times New Roman" w:eastAsiaTheme="minorEastAsia" w:hAnsi="Times New Roman" w:cs="Times New Roman"/>
                <w:sz w:val="20"/>
                <w:szCs w:val="20"/>
                <w:lang w:val="ro-MD"/>
              </w:rPr>
            </w:pPr>
          </w:p>
          <w:p w14:paraId="6EF1AA3C" w14:textId="77777777" w:rsidR="00F3660E" w:rsidRPr="00502787" w:rsidRDefault="00F3660E" w:rsidP="00502787">
            <w:pPr>
              <w:jc w:val="both"/>
              <w:rPr>
                <w:rFonts w:ascii="Times New Roman" w:eastAsiaTheme="minorEastAsia" w:hAnsi="Times New Roman" w:cs="Times New Roman"/>
                <w:sz w:val="20"/>
                <w:szCs w:val="20"/>
                <w:lang w:val="ro-MD"/>
              </w:rPr>
            </w:pPr>
          </w:p>
          <w:p w14:paraId="481CC000" w14:textId="77777777" w:rsidR="00F3660E" w:rsidRPr="00502787" w:rsidRDefault="00F3660E" w:rsidP="00502787">
            <w:pPr>
              <w:jc w:val="both"/>
              <w:rPr>
                <w:rFonts w:ascii="Times New Roman" w:eastAsiaTheme="minorEastAsia" w:hAnsi="Times New Roman" w:cs="Times New Roman"/>
                <w:sz w:val="20"/>
                <w:szCs w:val="20"/>
                <w:lang w:val="ro-MD"/>
              </w:rPr>
            </w:pPr>
          </w:p>
          <w:p w14:paraId="11FE91C0" w14:textId="77777777" w:rsidR="00F3660E" w:rsidRPr="00502787" w:rsidRDefault="00F3660E" w:rsidP="00502787">
            <w:pPr>
              <w:jc w:val="both"/>
              <w:rPr>
                <w:rFonts w:ascii="Times New Roman" w:eastAsiaTheme="minorEastAsia" w:hAnsi="Times New Roman" w:cs="Times New Roman"/>
                <w:sz w:val="20"/>
                <w:szCs w:val="20"/>
                <w:lang w:val="ro-MD"/>
              </w:rPr>
            </w:pPr>
          </w:p>
          <w:p w14:paraId="6E2A2CBE" w14:textId="77777777" w:rsidR="00F3660E" w:rsidRPr="00502787" w:rsidRDefault="00480C4A" w:rsidP="00502787">
            <w:pPr>
              <w:jc w:val="both"/>
              <w:rPr>
                <w:rFonts w:ascii="Times New Roman" w:eastAsiaTheme="minorEastAsia" w:hAnsi="Times New Roman" w:cs="Times New Roman"/>
                <w:sz w:val="20"/>
                <w:szCs w:val="20"/>
                <w:lang w:val="ro-MD"/>
              </w:rPr>
            </w:pPr>
            <w:r w:rsidRPr="00502787">
              <w:rPr>
                <w:rFonts w:ascii="Times New Roman" w:eastAsiaTheme="minorEastAsia" w:hAnsi="Times New Roman" w:cs="Times New Roman"/>
                <w:sz w:val="20"/>
                <w:szCs w:val="20"/>
                <w:lang w:val="ro-MD"/>
              </w:rPr>
              <w:t>• Revizuirea cadrului AML ca premisă pentru a stimula circulația capitalului. Un cadru eficient de prevenire a spălării banilor (AML) este esențial pentru menținerea integrității sistemului financiar și pentru combaterea activităților economice ilicite. Cu toate acestea, reglementările prea stricte pot crea obstacole semnificative în circulația capitalului. Prin urmare, pentru a sprijini dezvoltarea economică și a stimula investițiile, este necesară o revizuire a cadrului AML, care să păstreze măsurile de securitate financiară, dar fără a crea bariere suplimentare în accesul la finanțare. Reglementările trebuie să fie echilibrate, astfel încât să faciliteze intrarea și circulația capitalului în economia autohtonă, asigurând în același timp conformitatea cu standardele internaționale de prevenire a spălării banilor.</w:t>
            </w:r>
          </w:p>
          <w:p w14:paraId="6303657D" w14:textId="77777777" w:rsidR="00F3660E" w:rsidRPr="00502787" w:rsidRDefault="00F3660E" w:rsidP="00502787">
            <w:pPr>
              <w:jc w:val="both"/>
              <w:rPr>
                <w:rFonts w:ascii="Times New Roman" w:hAnsi="Times New Roman" w:cs="Times New Roman"/>
                <w:sz w:val="20"/>
                <w:szCs w:val="20"/>
                <w:lang w:val="ro-MD"/>
              </w:rPr>
            </w:pPr>
          </w:p>
          <w:p w14:paraId="14595EFA" w14:textId="77777777" w:rsidR="00F3660E" w:rsidRPr="00502787" w:rsidRDefault="00F3660E" w:rsidP="00502787">
            <w:pPr>
              <w:jc w:val="both"/>
              <w:rPr>
                <w:rFonts w:ascii="Times New Roman" w:eastAsiaTheme="minorEastAsia" w:hAnsi="Times New Roman" w:cs="Times New Roman"/>
                <w:sz w:val="20"/>
                <w:szCs w:val="20"/>
                <w:lang w:val="ro-MD"/>
              </w:rPr>
            </w:pPr>
          </w:p>
          <w:p w14:paraId="439D6C3F" w14:textId="77777777" w:rsidR="00F3660E" w:rsidRPr="00502787" w:rsidRDefault="00F3660E" w:rsidP="00502787">
            <w:pPr>
              <w:jc w:val="both"/>
              <w:rPr>
                <w:rFonts w:ascii="Times New Roman" w:eastAsiaTheme="minorEastAsia" w:hAnsi="Times New Roman" w:cs="Times New Roman"/>
                <w:sz w:val="20"/>
                <w:szCs w:val="20"/>
                <w:lang w:val="ro-MD"/>
              </w:rPr>
            </w:pPr>
          </w:p>
          <w:p w14:paraId="094E750C" w14:textId="77777777" w:rsidR="00F3660E" w:rsidRPr="00502787" w:rsidRDefault="00F3660E" w:rsidP="00502787">
            <w:pPr>
              <w:jc w:val="both"/>
              <w:rPr>
                <w:rFonts w:ascii="Times New Roman" w:eastAsiaTheme="minorEastAsia" w:hAnsi="Times New Roman" w:cs="Times New Roman"/>
                <w:sz w:val="20"/>
                <w:szCs w:val="20"/>
                <w:lang w:val="ro-MD"/>
              </w:rPr>
            </w:pPr>
          </w:p>
          <w:p w14:paraId="21ECFDC4" w14:textId="77777777" w:rsidR="00F3660E" w:rsidRPr="00502787" w:rsidRDefault="00F3660E" w:rsidP="00502787">
            <w:pPr>
              <w:jc w:val="both"/>
              <w:rPr>
                <w:rFonts w:ascii="Times New Roman" w:eastAsiaTheme="minorEastAsia" w:hAnsi="Times New Roman" w:cs="Times New Roman"/>
                <w:sz w:val="20"/>
                <w:szCs w:val="20"/>
                <w:lang w:val="ro-MD"/>
              </w:rPr>
            </w:pPr>
          </w:p>
          <w:p w14:paraId="1BD008B8" w14:textId="77777777" w:rsidR="00F3660E" w:rsidRPr="00502787" w:rsidRDefault="00F3660E" w:rsidP="00502787">
            <w:pPr>
              <w:jc w:val="both"/>
              <w:rPr>
                <w:rFonts w:ascii="Times New Roman" w:eastAsiaTheme="minorEastAsia" w:hAnsi="Times New Roman" w:cs="Times New Roman"/>
                <w:sz w:val="20"/>
                <w:szCs w:val="20"/>
                <w:lang w:val="ro-MD"/>
              </w:rPr>
            </w:pPr>
          </w:p>
          <w:p w14:paraId="16EB3D62" w14:textId="77777777" w:rsidR="00F3660E" w:rsidRPr="00502787" w:rsidRDefault="00F3660E" w:rsidP="00502787">
            <w:pPr>
              <w:jc w:val="both"/>
              <w:rPr>
                <w:rFonts w:ascii="Times New Roman" w:eastAsiaTheme="minorEastAsia" w:hAnsi="Times New Roman" w:cs="Times New Roman"/>
                <w:sz w:val="20"/>
                <w:szCs w:val="20"/>
                <w:lang w:val="ro-MD"/>
              </w:rPr>
            </w:pPr>
          </w:p>
          <w:p w14:paraId="599E9777" w14:textId="77777777" w:rsidR="00F3660E" w:rsidRPr="00502787" w:rsidRDefault="00F3660E" w:rsidP="00502787">
            <w:pPr>
              <w:jc w:val="both"/>
              <w:rPr>
                <w:rFonts w:ascii="Times New Roman" w:eastAsiaTheme="minorEastAsia" w:hAnsi="Times New Roman" w:cs="Times New Roman"/>
                <w:sz w:val="20"/>
                <w:szCs w:val="20"/>
                <w:lang w:val="ro-MD"/>
              </w:rPr>
            </w:pPr>
          </w:p>
          <w:p w14:paraId="34259948" w14:textId="77777777" w:rsidR="00F3660E" w:rsidRPr="00502787" w:rsidRDefault="00F3660E" w:rsidP="00502787">
            <w:pPr>
              <w:jc w:val="both"/>
              <w:rPr>
                <w:rFonts w:ascii="Times New Roman" w:eastAsiaTheme="minorEastAsia" w:hAnsi="Times New Roman" w:cs="Times New Roman"/>
                <w:sz w:val="20"/>
                <w:szCs w:val="20"/>
                <w:lang w:val="ro-MD"/>
              </w:rPr>
            </w:pPr>
          </w:p>
          <w:p w14:paraId="21762BF6" w14:textId="77777777" w:rsidR="00F3660E" w:rsidRPr="00502787" w:rsidRDefault="00F3660E" w:rsidP="00502787">
            <w:pPr>
              <w:jc w:val="both"/>
              <w:rPr>
                <w:rFonts w:ascii="Times New Roman" w:eastAsiaTheme="minorEastAsia" w:hAnsi="Times New Roman" w:cs="Times New Roman"/>
                <w:sz w:val="20"/>
                <w:szCs w:val="20"/>
                <w:lang w:val="ro-MD"/>
              </w:rPr>
            </w:pPr>
          </w:p>
          <w:p w14:paraId="4D8136D0" w14:textId="77777777" w:rsidR="00F3660E" w:rsidRPr="00502787" w:rsidRDefault="00F3660E" w:rsidP="00502787">
            <w:pPr>
              <w:jc w:val="both"/>
              <w:rPr>
                <w:rFonts w:ascii="Times New Roman" w:eastAsiaTheme="minorEastAsia" w:hAnsi="Times New Roman" w:cs="Times New Roman"/>
                <w:sz w:val="20"/>
                <w:szCs w:val="20"/>
                <w:lang w:val="ro-MD"/>
              </w:rPr>
            </w:pPr>
          </w:p>
          <w:p w14:paraId="7120971C" w14:textId="77777777" w:rsidR="00F3660E" w:rsidRPr="00502787" w:rsidRDefault="00F3660E" w:rsidP="00502787">
            <w:pPr>
              <w:jc w:val="both"/>
              <w:rPr>
                <w:rFonts w:ascii="Times New Roman" w:eastAsiaTheme="minorEastAsia" w:hAnsi="Times New Roman" w:cs="Times New Roman"/>
                <w:sz w:val="20"/>
                <w:szCs w:val="20"/>
                <w:lang w:val="ro-MD"/>
              </w:rPr>
            </w:pPr>
          </w:p>
          <w:p w14:paraId="0A520D4E" w14:textId="77777777" w:rsidR="00F3660E" w:rsidRPr="00502787" w:rsidRDefault="00F3660E" w:rsidP="00502787">
            <w:pPr>
              <w:jc w:val="both"/>
              <w:rPr>
                <w:rFonts w:ascii="Times New Roman" w:eastAsiaTheme="minorEastAsia" w:hAnsi="Times New Roman" w:cs="Times New Roman"/>
                <w:sz w:val="20"/>
                <w:szCs w:val="20"/>
                <w:lang w:val="ro-MD"/>
              </w:rPr>
            </w:pPr>
          </w:p>
          <w:p w14:paraId="08D50DD4" w14:textId="77777777" w:rsidR="00F3660E" w:rsidRPr="00502787" w:rsidRDefault="00F3660E" w:rsidP="00502787">
            <w:pPr>
              <w:jc w:val="both"/>
              <w:rPr>
                <w:rFonts w:ascii="Times New Roman" w:eastAsiaTheme="minorEastAsia" w:hAnsi="Times New Roman" w:cs="Times New Roman"/>
                <w:sz w:val="20"/>
                <w:szCs w:val="20"/>
                <w:lang w:val="ro-MD"/>
              </w:rPr>
            </w:pPr>
          </w:p>
          <w:p w14:paraId="70804319" w14:textId="77777777" w:rsidR="00F3660E" w:rsidRPr="00502787" w:rsidRDefault="00F3660E" w:rsidP="00502787">
            <w:pPr>
              <w:jc w:val="both"/>
              <w:rPr>
                <w:rFonts w:ascii="Times New Roman" w:eastAsiaTheme="minorEastAsia" w:hAnsi="Times New Roman" w:cs="Times New Roman"/>
                <w:sz w:val="20"/>
                <w:szCs w:val="20"/>
                <w:lang w:val="ro-MD"/>
              </w:rPr>
            </w:pPr>
          </w:p>
          <w:p w14:paraId="039B020F" w14:textId="77777777" w:rsidR="00F3660E" w:rsidRPr="00502787" w:rsidRDefault="00F3660E" w:rsidP="00502787">
            <w:pPr>
              <w:jc w:val="both"/>
              <w:rPr>
                <w:rFonts w:ascii="Times New Roman" w:eastAsiaTheme="minorEastAsia" w:hAnsi="Times New Roman" w:cs="Times New Roman"/>
                <w:sz w:val="20"/>
                <w:szCs w:val="20"/>
                <w:lang w:val="ro-MD"/>
              </w:rPr>
            </w:pPr>
          </w:p>
          <w:p w14:paraId="6CAAA32F" w14:textId="77777777" w:rsidR="00F3660E" w:rsidRPr="00502787" w:rsidRDefault="00F3660E" w:rsidP="00502787">
            <w:pPr>
              <w:jc w:val="both"/>
              <w:rPr>
                <w:rFonts w:ascii="Times New Roman" w:eastAsiaTheme="minorEastAsia" w:hAnsi="Times New Roman" w:cs="Times New Roman"/>
                <w:sz w:val="20"/>
                <w:szCs w:val="20"/>
                <w:lang w:val="ro-MD"/>
              </w:rPr>
            </w:pPr>
          </w:p>
          <w:p w14:paraId="69432294" w14:textId="77777777" w:rsidR="00F3660E" w:rsidRPr="00502787" w:rsidRDefault="00F3660E" w:rsidP="00502787">
            <w:pPr>
              <w:jc w:val="both"/>
              <w:rPr>
                <w:rFonts w:ascii="Times New Roman" w:eastAsiaTheme="minorEastAsia" w:hAnsi="Times New Roman" w:cs="Times New Roman"/>
                <w:sz w:val="20"/>
                <w:szCs w:val="20"/>
                <w:lang w:val="ro-MD"/>
              </w:rPr>
            </w:pPr>
          </w:p>
          <w:p w14:paraId="4F92862B" w14:textId="77777777" w:rsidR="00F3660E" w:rsidRPr="00502787" w:rsidRDefault="00F3660E" w:rsidP="00502787">
            <w:pPr>
              <w:jc w:val="both"/>
              <w:rPr>
                <w:rFonts w:ascii="Times New Roman" w:eastAsiaTheme="minorEastAsia" w:hAnsi="Times New Roman" w:cs="Times New Roman"/>
                <w:sz w:val="20"/>
                <w:szCs w:val="20"/>
                <w:lang w:val="ro-MD"/>
              </w:rPr>
            </w:pPr>
          </w:p>
          <w:p w14:paraId="433209DF" w14:textId="77777777" w:rsidR="00F3660E" w:rsidRPr="00502787" w:rsidRDefault="00F3660E" w:rsidP="00502787">
            <w:pPr>
              <w:jc w:val="both"/>
              <w:rPr>
                <w:rFonts w:ascii="Times New Roman" w:eastAsiaTheme="minorEastAsia" w:hAnsi="Times New Roman" w:cs="Times New Roman"/>
                <w:sz w:val="20"/>
                <w:szCs w:val="20"/>
                <w:lang w:val="ro-MD"/>
              </w:rPr>
            </w:pPr>
          </w:p>
          <w:p w14:paraId="71B17937" w14:textId="77777777" w:rsidR="00F3660E" w:rsidRPr="00502787" w:rsidRDefault="00F3660E" w:rsidP="00502787">
            <w:pPr>
              <w:jc w:val="both"/>
              <w:rPr>
                <w:rFonts w:ascii="Times New Roman" w:eastAsiaTheme="minorEastAsia" w:hAnsi="Times New Roman" w:cs="Times New Roman"/>
                <w:sz w:val="20"/>
                <w:szCs w:val="20"/>
                <w:lang w:val="ro-MD"/>
              </w:rPr>
            </w:pPr>
          </w:p>
          <w:p w14:paraId="40841E94" w14:textId="77777777" w:rsidR="00F3660E" w:rsidRPr="00502787" w:rsidRDefault="00F3660E" w:rsidP="00502787">
            <w:pPr>
              <w:jc w:val="both"/>
              <w:rPr>
                <w:rFonts w:ascii="Times New Roman" w:eastAsiaTheme="minorEastAsia" w:hAnsi="Times New Roman" w:cs="Times New Roman"/>
                <w:sz w:val="20"/>
                <w:szCs w:val="20"/>
                <w:lang w:val="ro-MD"/>
              </w:rPr>
            </w:pPr>
          </w:p>
          <w:p w14:paraId="2795E750" w14:textId="77777777" w:rsidR="00F3660E" w:rsidRPr="00502787" w:rsidRDefault="00F3660E" w:rsidP="00502787">
            <w:pPr>
              <w:jc w:val="both"/>
              <w:rPr>
                <w:rFonts w:ascii="Times New Roman" w:eastAsiaTheme="minorEastAsia" w:hAnsi="Times New Roman" w:cs="Times New Roman"/>
                <w:sz w:val="20"/>
                <w:szCs w:val="20"/>
                <w:lang w:val="ro-MD"/>
              </w:rPr>
            </w:pPr>
          </w:p>
          <w:p w14:paraId="3CD7AFD8" w14:textId="77777777" w:rsidR="00F3660E" w:rsidRPr="00502787" w:rsidRDefault="00F3660E" w:rsidP="00502787">
            <w:pPr>
              <w:jc w:val="both"/>
              <w:rPr>
                <w:rFonts w:ascii="Times New Roman" w:eastAsiaTheme="minorEastAsia" w:hAnsi="Times New Roman" w:cs="Times New Roman"/>
                <w:sz w:val="20"/>
                <w:szCs w:val="20"/>
                <w:lang w:val="ro-MD"/>
              </w:rPr>
            </w:pPr>
          </w:p>
          <w:p w14:paraId="3981CBC2" w14:textId="77777777" w:rsidR="00F3660E" w:rsidRPr="00502787" w:rsidRDefault="00F3660E" w:rsidP="00502787">
            <w:pPr>
              <w:jc w:val="both"/>
              <w:rPr>
                <w:rFonts w:ascii="Times New Roman" w:eastAsiaTheme="minorEastAsia" w:hAnsi="Times New Roman" w:cs="Times New Roman"/>
                <w:sz w:val="20"/>
                <w:szCs w:val="20"/>
                <w:lang w:val="ro-MD"/>
              </w:rPr>
            </w:pPr>
          </w:p>
          <w:p w14:paraId="4372A698" w14:textId="77777777" w:rsidR="00F3660E" w:rsidRPr="00502787" w:rsidRDefault="00F3660E" w:rsidP="00502787">
            <w:pPr>
              <w:jc w:val="both"/>
              <w:rPr>
                <w:rFonts w:ascii="Times New Roman" w:eastAsiaTheme="minorEastAsia" w:hAnsi="Times New Roman" w:cs="Times New Roman"/>
                <w:sz w:val="20"/>
                <w:szCs w:val="20"/>
                <w:lang w:val="ro-MD"/>
              </w:rPr>
            </w:pPr>
          </w:p>
          <w:p w14:paraId="206DFC3F" w14:textId="77777777" w:rsidR="00F3660E" w:rsidRPr="00502787" w:rsidRDefault="00F3660E" w:rsidP="00502787">
            <w:pPr>
              <w:jc w:val="both"/>
              <w:rPr>
                <w:rFonts w:ascii="Times New Roman" w:eastAsiaTheme="minorEastAsia" w:hAnsi="Times New Roman" w:cs="Times New Roman"/>
                <w:sz w:val="20"/>
                <w:szCs w:val="20"/>
                <w:lang w:val="ro-MD"/>
              </w:rPr>
            </w:pPr>
          </w:p>
          <w:p w14:paraId="3672CD5C" w14:textId="77777777" w:rsidR="00F3660E" w:rsidRPr="00502787" w:rsidRDefault="00F3660E" w:rsidP="00502787">
            <w:pPr>
              <w:jc w:val="both"/>
              <w:rPr>
                <w:rFonts w:ascii="Times New Roman" w:eastAsiaTheme="minorEastAsia" w:hAnsi="Times New Roman" w:cs="Times New Roman"/>
                <w:sz w:val="20"/>
                <w:szCs w:val="20"/>
                <w:lang w:val="ro-MD"/>
              </w:rPr>
            </w:pPr>
          </w:p>
          <w:p w14:paraId="6D3D1F68" w14:textId="77777777" w:rsidR="00F3660E" w:rsidRPr="00502787" w:rsidRDefault="00F3660E" w:rsidP="00502787">
            <w:pPr>
              <w:jc w:val="both"/>
              <w:rPr>
                <w:rFonts w:ascii="Times New Roman" w:eastAsiaTheme="minorEastAsia" w:hAnsi="Times New Roman" w:cs="Times New Roman"/>
                <w:sz w:val="20"/>
                <w:szCs w:val="20"/>
                <w:lang w:val="ro-MD"/>
              </w:rPr>
            </w:pPr>
          </w:p>
          <w:p w14:paraId="5CEAC294" w14:textId="77777777" w:rsidR="00F3660E" w:rsidRPr="00502787" w:rsidRDefault="00F3660E" w:rsidP="00502787">
            <w:pPr>
              <w:jc w:val="both"/>
              <w:rPr>
                <w:rFonts w:ascii="Times New Roman" w:eastAsiaTheme="minorEastAsia" w:hAnsi="Times New Roman" w:cs="Times New Roman"/>
                <w:sz w:val="20"/>
                <w:szCs w:val="20"/>
                <w:lang w:val="ro-MD"/>
              </w:rPr>
            </w:pPr>
          </w:p>
          <w:p w14:paraId="353793E3" w14:textId="77777777" w:rsidR="00F3660E" w:rsidRPr="00502787" w:rsidRDefault="00F3660E" w:rsidP="00502787">
            <w:pPr>
              <w:jc w:val="both"/>
              <w:rPr>
                <w:rFonts w:ascii="Times New Roman" w:eastAsiaTheme="minorEastAsia" w:hAnsi="Times New Roman" w:cs="Times New Roman"/>
                <w:sz w:val="20"/>
                <w:szCs w:val="20"/>
                <w:lang w:val="ro-MD"/>
              </w:rPr>
            </w:pPr>
          </w:p>
          <w:p w14:paraId="3031496D" w14:textId="77777777" w:rsidR="00F3660E" w:rsidRPr="00502787" w:rsidRDefault="00F3660E" w:rsidP="00502787">
            <w:pPr>
              <w:jc w:val="both"/>
              <w:rPr>
                <w:rFonts w:ascii="Times New Roman" w:eastAsiaTheme="minorEastAsia" w:hAnsi="Times New Roman" w:cs="Times New Roman"/>
                <w:sz w:val="20"/>
                <w:szCs w:val="20"/>
                <w:lang w:val="ro-MD"/>
              </w:rPr>
            </w:pPr>
          </w:p>
          <w:p w14:paraId="6DDAABE4" w14:textId="77777777" w:rsidR="00F3660E" w:rsidRPr="00502787" w:rsidRDefault="00F3660E" w:rsidP="00502787">
            <w:pPr>
              <w:jc w:val="both"/>
              <w:rPr>
                <w:rFonts w:ascii="Times New Roman" w:eastAsiaTheme="minorEastAsia" w:hAnsi="Times New Roman" w:cs="Times New Roman"/>
                <w:sz w:val="20"/>
                <w:szCs w:val="20"/>
                <w:lang w:val="ro-MD"/>
              </w:rPr>
            </w:pPr>
          </w:p>
          <w:p w14:paraId="79014D19" w14:textId="77777777" w:rsidR="00F3660E" w:rsidRPr="00502787" w:rsidRDefault="00F3660E" w:rsidP="00502787">
            <w:pPr>
              <w:jc w:val="both"/>
              <w:rPr>
                <w:rFonts w:ascii="Times New Roman" w:eastAsiaTheme="minorEastAsia" w:hAnsi="Times New Roman" w:cs="Times New Roman"/>
                <w:sz w:val="20"/>
                <w:szCs w:val="20"/>
                <w:lang w:val="ro-MD"/>
              </w:rPr>
            </w:pPr>
          </w:p>
          <w:p w14:paraId="41F7C147" w14:textId="77777777" w:rsidR="00F3660E" w:rsidRPr="00502787" w:rsidRDefault="00F3660E" w:rsidP="00502787">
            <w:pPr>
              <w:jc w:val="both"/>
              <w:rPr>
                <w:rFonts w:ascii="Times New Roman" w:eastAsiaTheme="minorEastAsia" w:hAnsi="Times New Roman" w:cs="Times New Roman"/>
                <w:sz w:val="20"/>
                <w:szCs w:val="20"/>
                <w:lang w:val="ro-MD"/>
              </w:rPr>
            </w:pPr>
          </w:p>
          <w:p w14:paraId="58BE8ABF" w14:textId="77777777" w:rsidR="00F3660E" w:rsidRPr="00502787" w:rsidRDefault="00F3660E" w:rsidP="00502787">
            <w:pPr>
              <w:jc w:val="both"/>
              <w:rPr>
                <w:rFonts w:ascii="Times New Roman" w:eastAsiaTheme="minorEastAsia" w:hAnsi="Times New Roman" w:cs="Times New Roman"/>
                <w:sz w:val="20"/>
                <w:szCs w:val="20"/>
                <w:lang w:val="ro-MD"/>
              </w:rPr>
            </w:pPr>
          </w:p>
          <w:p w14:paraId="20DDA5F1" w14:textId="77777777" w:rsidR="00F3660E" w:rsidRPr="00502787" w:rsidRDefault="00F3660E" w:rsidP="00502787">
            <w:pPr>
              <w:jc w:val="both"/>
              <w:rPr>
                <w:rFonts w:ascii="Times New Roman" w:eastAsiaTheme="minorEastAsia" w:hAnsi="Times New Roman" w:cs="Times New Roman"/>
                <w:sz w:val="20"/>
                <w:szCs w:val="20"/>
                <w:lang w:val="ro-MD"/>
              </w:rPr>
            </w:pPr>
          </w:p>
          <w:p w14:paraId="7233DF3F" w14:textId="77777777" w:rsidR="00F3660E" w:rsidRPr="00502787" w:rsidRDefault="00F3660E" w:rsidP="00502787">
            <w:pPr>
              <w:jc w:val="both"/>
              <w:rPr>
                <w:rFonts w:ascii="Times New Roman" w:eastAsiaTheme="minorEastAsia" w:hAnsi="Times New Roman" w:cs="Times New Roman"/>
                <w:sz w:val="20"/>
                <w:szCs w:val="20"/>
                <w:lang w:val="ro-MD"/>
              </w:rPr>
            </w:pPr>
          </w:p>
          <w:p w14:paraId="4B0865C7" w14:textId="77777777" w:rsidR="00F3660E" w:rsidRPr="00502787" w:rsidRDefault="00F3660E" w:rsidP="00502787">
            <w:pPr>
              <w:jc w:val="both"/>
              <w:rPr>
                <w:rFonts w:ascii="Times New Roman" w:eastAsiaTheme="minorEastAsia" w:hAnsi="Times New Roman" w:cs="Times New Roman"/>
                <w:sz w:val="20"/>
                <w:szCs w:val="20"/>
                <w:lang w:val="ro-MD"/>
              </w:rPr>
            </w:pPr>
          </w:p>
          <w:p w14:paraId="1C3560BB" w14:textId="77777777" w:rsidR="00F3660E" w:rsidRPr="00502787" w:rsidRDefault="00F3660E" w:rsidP="00502787">
            <w:pPr>
              <w:jc w:val="both"/>
              <w:rPr>
                <w:rFonts w:ascii="Times New Roman" w:eastAsiaTheme="minorEastAsia" w:hAnsi="Times New Roman" w:cs="Times New Roman"/>
                <w:sz w:val="20"/>
                <w:szCs w:val="20"/>
                <w:lang w:val="ro-MD"/>
              </w:rPr>
            </w:pPr>
          </w:p>
          <w:p w14:paraId="46CCACD1" w14:textId="77777777" w:rsidR="00F3660E" w:rsidRPr="00502787" w:rsidRDefault="00F3660E" w:rsidP="00502787">
            <w:pPr>
              <w:jc w:val="both"/>
              <w:rPr>
                <w:rFonts w:ascii="Times New Roman" w:eastAsiaTheme="minorEastAsia" w:hAnsi="Times New Roman" w:cs="Times New Roman"/>
                <w:sz w:val="20"/>
                <w:szCs w:val="20"/>
                <w:lang w:val="ro-MD"/>
              </w:rPr>
            </w:pPr>
          </w:p>
          <w:p w14:paraId="350EA152" w14:textId="77777777" w:rsidR="00F3660E" w:rsidRPr="00502787" w:rsidRDefault="00F3660E" w:rsidP="00502787">
            <w:pPr>
              <w:jc w:val="both"/>
              <w:rPr>
                <w:rFonts w:ascii="Times New Roman" w:eastAsiaTheme="minorEastAsia" w:hAnsi="Times New Roman" w:cs="Times New Roman"/>
                <w:sz w:val="20"/>
                <w:szCs w:val="20"/>
                <w:lang w:val="ro-MD"/>
              </w:rPr>
            </w:pPr>
          </w:p>
          <w:p w14:paraId="0D4FA700" w14:textId="77777777" w:rsidR="00F3660E" w:rsidRPr="00502787" w:rsidRDefault="00F3660E" w:rsidP="00502787">
            <w:pPr>
              <w:jc w:val="both"/>
              <w:rPr>
                <w:rFonts w:ascii="Times New Roman" w:eastAsiaTheme="minorEastAsia" w:hAnsi="Times New Roman" w:cs="Times New Roman"/>
                <w:sz w:val="20"/>
                <w:szCs w:val="20"/>
                <w:lang w:val="ro-MD"/>
              </w:rPr>
            </w:pPr>
          </w:p>
          <w:p w14:paraId="43C6672B" w14:textId="77777777" w:rsidR="00F3660E" w:rsidRPr="00502787" w:rsidRDefault="00F3660E" w:rsidP="00502787">
            <w:pPr>
              <w:jc w:val="both"/>
              <w:rPr>
                <w:rFonts w:ascii="Times New Roman" w:eastAsiaTheme="minorEastAsia" w:hAnsi="Times New Roman" w:cs="Times New Roman"/>
                <w:sz w:val="20"/>
                <w:szCs w:val="20"/>
                <w:lang w:val="ro-MD"/>
              </w:rPr>
            </w:pPr>
          </w:p>
          <w:p w14:paraId="2D70B0FE" w14:textId="77777777" w:rsidR="00F3660E" w:rsidRPr="00502787" w:rsidRDefault="00F3660E" w:rsidP="00502787">
            <w:pPr>
              <w:jc w:val="both"/>
              <w:rPr>
                <w:rFonts w:ascii="Times New Roman" w:eastAsiaTheme="minorEastAsia" w:hAnsi="Times New Roman" w:cs="Times New Roman"/>
                <w:sz w:val="20"/>
                <w:szCs w:val="20"/>
                <w:lang w:val="ro-MD"/>
              </w:rPr>
            </w:pPr>
          </w:p>
          <w:p w14:paraId="5742C7FB" w14:textId="77777777" w:rsidR="00F3660E" w:rsidRPr="00502787" w:rsidRDefault="00F3660E" w:rsidP="00502787">
            <w:pPr>
              <w:jc w:val="both"/>
              <w:rPr>
                <w:rFonts w:ascii="Times New Roman" w:eastAsiaTheme="minorEastAsia" w:hAnsi="Times New Roman" w:cs="Times New Roman"/>
                <w:sz w:val="20"/>
                <w:szCs w:val="20"/>
                <w:lang w:val="ro-MD"/>
              </w:rPr>
            </w:pPr>
          </w:p>
          <w:p w14:paraId="37FEBB81" w14:textId="77777777" w:rsidR="00F3660E" w:rsidRPr="00502787" w:rsidRDefault="00F3660E" w:rsidP="00502787">
            <w:pPr>
              <w:jc w:val="both"/>
              <w:rPr>
                <w:rFonts w:ascii="Times New Roman" w:eastAsiaTheme="minorEastAsia" w:hAnsi="Times New Roman" w:cs="Times New Roman"/>
                <w:sz w:val="20"/>
                <w:szCs w:val="20"/>
                <w:lang w:val="ro-MD"/>
              </w:rPr>
            </w:pPr>
          </w:p>
          <w:p w14:paraId="426C1D1A" w14:textId="77777777" w:rsidR="00F3660E" w:rsidRPr="00502787" w:rsidRDefault="00F3660E" w:rsidP="00502787">
            <w:pPr>
              <w:jc w:val="both"/>
              <w:rPr>
                <w:rFonts w:ascii="Times New Roman" w:eastAsiaTheme="minorEastAsia" w:hAnsi="Times New Roman" w:cs="Times New Roman"/>
                <w:sz w:val="20"/>
                <w:szCs w:val="20"/>
                <w:lang w:val="ro-MD"/>
              </w:rPr>
            </w:pPr>
          </w:p>
          <w:p w14:paraId="48A55519" w14:textId="77777777" w:rsidR="00F3660E" w:rsidRPr="00502787" w:rsidRDefault="00F3660E" w:rsidP="00502787">
            <w:pPr>
              <w:jc w:val="both"/>
              <w:rPr>
                <w:rFonts w:ascii="Times New Roman" w:eastAsiaTheme="minorEastAsia" w:hAnsi="Times New Roman" w:cs="Times New Roman"/>
                <w:sz w:val="20"/>
                <w:szCs w:val="20"/>
                <w:lang w:val="ro-MD"/>
              </w:rPr>
            </w:pPr>
          </w:p>
          <w:p w14:paraId="09BE7415" w14:textId="77777777" w:rsidR="00F3660E" w:rsidRPr="00502787" w:rsidRDefault="00F3660E" w:rsidP="00502787">
            <w:pPr>
              <w:jc w:val="both"/>
              <w:rPr>
                <w:rFonts w:ascii="Times New Roman" w:eastAsiaTheme="minorEastAsia" w:hAnsi="Times New Roman" w:cs="Times New Roman"/>
                <w:sz w:val="20"/>
                <w:szCs w:val="20"/>
                <w:lang w:val="ro-MD"/>
              </w:rPr>
            </w:pPr>
          </w:p>
          <w:p w14:paraId="6A77EE7E" w14:textId="77777777" w:rsidR="00F3660E" w:rsidRPr="00502787" w:rsidRDefault="00F3660E" w:rsidP="00502787">
            <w:pPr>
              <w:jc w:val="both"/>
              <w:rPr>
                <w:rFonts w:ascii="Times New Roman" w:eastAsiaTheme="minorEastAsia" w:hAnsi="Times New Roman" w:cs="Times New Roman"/>
                <w:sz w:val="20"/>
                <w:szCs w:val="20"/>
                <w:lang w:val="ro-MD"/>
              </w:rPr>
            </w:pPr>
          </w:p>
          <w:p w14:paraId="16053FB4" w14:textId="77777777" w:rsidR="00F3660E" w:rsidRPr="00502787" w:rsidRDefault="00F3660E" w:rsidP="00502787">
            <w:pPr>
              <w:jc w:val="both"/>
              <w:rPr>
                <w:rFonts w:ascii="Times New Roman" w:eastAsiaTheme="minorEastAsia" w:hAnsi="Times New Roman" w:cs="Times New Roman"/>
                <w:sz w:val="20"/>
                <w:szCs w:val="20"/>
                <w:lang w:val="ro-MD"/>
              </w:rPr>
            </w:pPr>
          </w:p>
          <w:p w14:paraId="62698D64" w14:textId="77777777" w:rsidR="00F3660E" w:rsidRPr="00502787" w:rsidRDefault="00F3660E" w:rsidP="00502787">
            <w:pPr>
              <w:jc w:val="both"/>
              <w:rPr>
                <w:rFonts w:ascii="Times New Roman" w:eastAsiaTheme="minorEastAsia" w:hAnsi="Times New Roman" w:cs="Times New Roman"/>
                <w:sz w:val="20"/>
                <w:szCs w:val="20"/>
                <w:lang w:val="ro-MD"/>
              </w:rPr>
            </w:pPr>
          </w:p>
          <w:p w14:paraId="06622D98" w14:textId="77777777" w:rsidR="00F3660E" w:rsidRPr="00502787" w:rsidRDefault="00F3660E" w:rsidP="00502787">
            <w:pPr>
              <w:jc w:val="both"/>
              <w:rPr>
                <w:rFonts w:ascii="Times New Roman" w:eastAsiaTheme="minorEastAsia" w:hAnsi="Times New Roman" w:cs="Times New Roman"/>
                <w:sz w:val="20"/>
                <w:szCs w:val="20"/>
                <w:lang w:val="ro-MD"/>
              </w:rPr>
            </w:pPr>
          </w:p>
          <w:p w14:paraId="7F7BC1C8" w14:textId="77777777" w:rsidR="00F3660E" w:rsidRPr="00502787" w:rsidRDefault="00F3660E" w:rsidP="00502787">
            <w:pPr>
              <w:jc w:val="both"/>
              <w:rPr>
                <w:rFonts w:ascii="Times New Roman" w:eastAsiaTheme="minorEastAsia" w:hAnsi="Times New Roman" w:cs="Times New Roman"/>
                <w:sz w:val="20"/>
                <w:szCs w:val="20"/>
                <w:lang w:val="ro-MD"/>
              </w:rPr>
            </w:pPr>
          </w:p>
          <w:p w14:paraId="49C6243F" w14:textId="77777777" w:rsidR="00F3660E" w:rsidRPr="00502787" w:rsidRDefault="00F3660E" w:rsidP="00502787">
            <w:pPr>
              <w:jc w:val="both"/>
              <w:rPr>
                <w:rFonts w:ascii="Times New Roman" w:eastAsiaTheme="minorEastAsia" w:hAnsi="Times New Roman" w:cs="Times New Roman"/>
                <w:sz w:val="20"/>
                <w:szCs w:val="20"/>
                <w:lang w:val="ro-MD"/>
              </w:rPr>
            </w:pPr>
          </w:p>
          <w:p w14:paraId="516951D6" w14:textId="77777777" w:rsidR="00F3660E" w:rsidRPr="00502787" w:rsidRDefault="00F3660E" w:rsidP="00502787">
            <w:pPr>
              <w:jc w:val="both"/>
              <w:rPr>
                <w:rFonts w:ascii="Times New Roman" w:eastAsiaTheme="minorEastAsia" w:hAnsi="Times New Roman" w:cs="Times New Roman"/>
                <w:sz w:val="20"/>
                <w:szCs w:val="20"/>
                <w:lang w:val="ro-MD"/>
              </w:rPr>
            </w:pPr>
          </w:p>
          <w:p w14:paraId="50756D7C" w14:textId="77777777" w:rsidR="00F3660E" w:rsidRPr="00502787" w:rsidRDefault="00F3660E" w:rsidP="00502787">
            <w:pPr>
              <w:jc w:val="both"/>
              <w:rPr>
                <w:rFonts w:ascii="Times New Roman" w:eastAsiaTheme="minorEastAsia" w:hAnsi="Times New Roman" w:cs="Times New Roman"/>
                <w:sz w:val="20"/>
                <w:szCs w:val="20"/>
                <w:lang w:val="ro-MD"/>
              </w:rPr>
            </w:pPr>
          </w:p>
          <w:p w14:paraId="43F619B8" w14:textId="77777777" w:rsidR="00F3660E" w:rsidRPr="00502787" w:rsidRDefault="00F3660E" w:rsidP="00502787">
            <w:pPr>
              <w:jc w:val="both"/>
              <w:rPr>
                <w:rFonts w:ascii="Times New Roman" w:eastAsiaTheme="minorEastAsia" w:hAnsi="Times New Roman" w:cs="Times New Roman"/>
                <w:sz w:val="20"/>
                <w:szCs w:val="20"/>
                <w:lang w:val="ro-MD"/>
              </w:rPr>
            </w:pPr>
          </w:p>
          <w:p w14:paraId="5345825B" w14:textId="77777777" w:rsidR="00F3660E" w:rsidRPr="00502787" w:rsidRDefault="00F3660E" w:rsidP="00502787">
            <w:pPr>
              <w:jc w:val="both"/>
              <w:rPr>
                <w:rFonts w:ascii="Times New Roman" w:eastAsiaTheme="minorEastAsia" w:hAnsi="Times New Roman" w:cs="Times New Roman"/>
                <w:sz w:val="20"/>
                <w:szCs w:val="20"/>
                <w:lang w:val="ro-MD"/>
              </w:rPr>
            </w:pPr>
          </w:p>
          <w:p w14:paraId="2CA6C715" w14:textId="77777777" w:rsidR="00F3660E" w:rsidRPr="00502787" w:rsidRDefault="00F3660E" w:rsidP="00502787">
            <w:pPr>
              <w:jc w:val="both"/>
              <w:rPr>
                <w:rFonts w:ascii="Times New Roman" w:eastAsiaTheme="minorEastAsia" w:hAnsi="Times New Roman" w:cs="Times New Roman"/>
                <w:sz w:val="20"/>
                <w:szCs w:val="20"/>
                <w:lang w:val="ro-MD"/>
              </w:rPr>
            </w:pPr>
          </w:p>
          <w:p w14:paraId="15304B4C" w14:textId="77777777" w:rsidR="00F3660E" w:rsidRPr="00502787" w:rsidRDefault="00F3660E" w:rsidP="00502787">
            <w:pPr>
              <w:jc w:val="both"/>
              <w:rPr>
                <w:rFonts w:ascii="Times New Roman" w:eastAsiaTheme="minorEastAsia" w:hAnsi="Times New Roman" w:cs="Times New Roman"/>
                <w:sz w:val="20"/>
                <w:szCs w:val="20"/>
                <w:lang w:val="ro-MD"/>
              </w:rPr>
            </w:pPr>
          </w:p>
          <w:p w14:paraId="78C54DD7" w14:textId="77777777" w:rsidR="00F3660E" w:rsidRPr="00502787" w:rsidRDefault="00F3660E" w:rsidP="00502787">
            <w:pPr>
              <w:jc w:val="both"/>
              <w:rPr>
                <w:rFonts w:ascii="Times New Roman" w:eastAsiaTheme="minorEastAsia" w:hAnsi="Times New Roman" w:cs="Times New Roman"/>
                <w:sz w:val="20"/>
                <w:szCs w:val="20"/>
                <w:lang w:val="ro-MD"/>
              </w:rPr>
            </w:pPr>
          </w:p>
          <w:p w14:paraId="444829E4" w14:textId="77777777" w:rsidR="00F3660E" w:rsidRPr="00502787" w:rsidRDefault="00F3660E" w:rsidP="00502787">
            <w:pPr>
              <w:jc w:val="both"/>
              <w:rPr>
                <w:rFonts w:ascii="Times New Roman" w:eastAsiaTheme="minorEastAsia" w:hAnsi="Times New Roman" w:cs="Times New Roman"/>
                <w:sz w:val="20"/>
                <w:szCs w:val="20"/>
                <w:lang w:val="ro-MD"/>
              </w:rPr>
            </w:pPr>
          </w:p>
          <w:p w14:paraId="1F7BE22D" w14:textId="77777777" w:rsidR="00F3660E" w:rsidRPr="00502787" w:rsidRDefault="00F3660E" w:rsidP="00502787">
            <w:pPr>
              <w:jc w:val="both"/>
              <w:rPr>
                <w:rFonts w:ascii="Times New Roman" w:eastAsiaTheme="minorEastAsia" w:hAnsi="Times New Roman" w:cs="Times New Roman"/>
                <w:sz w:val="20"/>
                <w:szCs w:val="20"/>
                <w:lang w:val="ro-MD"/>
              </w:rPr>
            </w:pPr>
          </w:p>
          <w:p w14:paraId="6EA0A3B9" w14:textId="77777777" w:rsidR="00F3660E" w:rsidRPr="00502787" w:rsidRDefault="00F3660E" w:rsidP="00502787">
            <w:pPr>
              <w:jc w:val="both"/>
              <w:rPr>
                <w:rFonts w:ascii="Times New Roman" w:eastAsiaTheme="minorEastAsia" w:hAnsi="Times New Roman" w:cs="Times New Roman"/>
                <w:sz w:val="20"/>
                <w:szCs w:val="20"/>
                <w:lang w:val="ro-MD"/>
              </w:rPr>
            </w:pPr>
          </w:p>
          <w:p w14:paraId="23B5E612" w14:textId="77777777" w:rsidR="00F3660E" w:rsidRPr="00502787" w:rsidRDefault="00F3660E" w:rsidP="00502787">
            <w:pPr>
              <w:jc w:val="both"/>
              <w:rPr>
                <w:rFonts w:ascii="Times New Roman" w:eastAsiaTheme="minorEastAsia" w:hAnsi="Times New Roman" w:cs="Times New Roman"/>
                <w:sz w:val="20"/>
                <w:szCs w:val="20"/>
                <w:lang w:val="ro-MD"/>
              </w:rPr>
            </w:pPr>
          </w:p>
          <w:p w14:paraId="14480FBE" w14:textId="77777777" w:rsidR="00F3660E" w:rsidRPr="00502787" w:rsidRDefault="00F3660E" w:rsidP="00502787">
            <w:pPr>
              <w:jc w:val="both"/>
              <w:rPr>
                <w:rFonts w:ascii="Times New Roman" w:eastAsiaTheme="minorEastAsia" w:hAnsi="Times New Roman" w:cs="Times New Roman"/>
                <w:sz w:val="20"/>
                <w:szCs w:val="20"/>
                <w:lang w:val="ro-MD"/>
              </w:rPr>
            </w:pPr>
          </w:p>
          <w:p w14:paraId="2B909F47" w14:textId="77777777" w:rsidR="00F3660E" w:rsidRPr="00502787" w:rsidRDefault="00F3660E" w:rsidP="00502787">
            <w:pPr>
              <w:jc w:val="both"/>
              <w:rPr>
                <w:rFonts w:ascii="Times New Roman" w:eastAsiaTheme="minorEastAsia" w:hAnsi="Times New Roman" w:cs="Times New Roman"/>
                <w:sz w:val="20"/>
                <w:szCs w:val="20"/>
                <w:lang w:val="ro-MD"/>
              </w:rPr>
            </w:pPr>
          </w:p>
          <w:p w14:paraId="663B238F" w14:textId="77777777" w:rsidR="00F3660E" w:rsidRPr="00502787" w:rsidRDefault="00F3660E" w:rsidP="00502787">
            <w:pPr>
              <w:jc w:val="both"/>
              <w:rPr>
                <w:rFonts w:ascii="Times New Roman" w:eastAsiaTheme="minorEastAsia" w:hAnsi="Times New Roman" w:cs="Times New Roman"/>
                <w:sz w:val="20"/>
                <w:szCs w:val="20"/>
                <w:lang w:val="ro-MD"/>
              </w:rPr>
            </w:pPr>
          </w:p>
          <w:p w14:paraId="05D00AB5" w14:textId="77777777" w:rsidR="00F3660E" w:rsidRPr="00502787" w:rsidRDefault="00F3660E" w:rsidP="00502787">
            <w:pPr>
              <w:jc w:val="both"/>
              <w:rPr>
                <w:rFonts w:ascii="Times New Roman" w:eastAsiaTheme="minorEastAsia" w:hAnsi="Times New Roman" w:cs="Times New Roman"/>
                <w:sz w:val="20"/>
                <w:szCs w:val="20"/>
                <w:lang w:val="ro-MD"/>
              </w:rPr>
            </w:pPr>
          </w:p>
          <w:p w14:paraId="1937687F" w14:textId="77777777" w:rsidR="00F3660E" w:rsidRPr="00502787" w:rsidRDefault="00F3660E" w:rsidP="00502787">
            <w:pPr>
              <w:jc w:val="both"/>
              <w:rPr>
                <w:rFonts w:ascii="Times New Roman" w:eastAsiaTheme="minorEastAsia" w:hAnsi="Times New Roman" w:cs="Times New Roman"/>
                <w:sz w:val="20"/>
                <w:szCs w:val="20"/>
                <w:lang w:val="ro-MD"/>
              </w:rPr>
            </w:pPr>
          </w:p>
          <w:p w14:paraId="7DB08016" w14:textId="77777777" w:rsidR="00F3660E" w:rsidRPr="00502787" w:rsidRDefault="00F3660E" w:rsidP="00502787">
            <w:pPr>
              <w:jc w:val="both"/>
              <w:rPr>
                <w:rFonts w:ascii="Times New Roman" w:eastAsiaTheme="minorEastAsia" w:hAnsi="Times New Roman" w:cs="Times New Roman"/>
                <w:sz w:val="20"/>
                <w:szCs w:val="20"/>
                <w:lang w:val="ro-MD"/>
              </w:rPr>
            </w:pPr>
          </w:p>
          <w:p w14:paraId="772ED5C8" w14:textId="77777777" w:rsidR="00F3660E" w:rsidRPr="00502787" w:rsidRDefault="00F3660E" w:rsidP="00502787">
            <w:pPr>
              <w:jc w:val="both"/>
              <w:rPr>
                <w:rFonts w:ascii="Times New Roman" w:eastAsiaTheme="minorEastAsia" w:hAnsi="Times New Roman" w:cs="Times New Roman"/>
                <w:sz w:val="20"/>
                <w:szCs w:val="20"/>
                <w:lang w:val="ro-MD"/>
              </w:rPr>
            </w:pPr>
          </w:p>
          <w:p w14:paraId="5ACC5B5B" w14:textId="77777777" w:rsidR="00F3660E" w:rsidRPr="00502787" w:rsidRDefault="00F3660E" w:rsidP="00502787">
            <w:pPr>
              <w:jc w:val="both"/>
              <w:rPr>
                <w:rFonts w:ascii="Times New Roman" w:eastAsiaTheme="minorEastAsia" w:hAnsi="Times New Roman" w:cs="Times New Roman"/>
                <w:sz w:val="20"/>
                <w:szCs w:val="20"/>
                <w:lang w:val="ro-MD"/>
              </w:rPr>
            </w:pPr>
          </w:p>
          <w:p w14:paraId="6CD99C14" w14:textId="77777777" w:rsidR="00F3660E" w:rsidRPr="00502787" w:rsidRDefault="00F3660E" w:rsidP="00502787">
            <w:pPr>
              <w:jc w:val="both"/>
              <w:rPr>
                <w:rFonts w:ascii="Times New Roman" w:eastAsiaTheme="minorEastAsia" w:hAnsi="Times New Roman" w:cs="Times New Roman"/>
                <w:sz w:val="20"/>
                <w:szCs w:val="20"/>
                <w:lang w:val="ro-MD"/>
              </w:rPr>
            </w:pPr>
          </w:p>
          <w:p w14:paraId="7345AC4A" w14:textId="77777777" w:rsidR="00F3660E" w:rsidRPr="00502787" w:rsidRDefault="00F3660E" w:rsidP="00502787">
            <w:pPr>
              <w:jc w:val="both"/>
              <w:rPr>
                <w:rFonts w:ascii="Times New Roman" w:eastAsiaTheme="minorEastAsia" w:hAnsi="Times New Roman" w:cs="Times New Roman"/>
                <w:sz w:val="20"/>
                <w:szCs w:val="20"/>
                <w:lang w:val="ro-MD"/>
              </w:rPr>
            </w:pPr>
          </w:p>
          <w:p w14:paraId="52EF8AFE" w14:textId="77777777" w:rsidR="00F3660E" w:rsidRPr="00502787" w:rsidRDefault="00F3660E" w:rsidP="00502787">
            <w:pPr>
              <w:jc w:val="both"/>
              <w:rPr>
                <w:rFonts w:ascii="Times New Roman" w:eastAsiaTheme="minorEastAsia" w:hAnsi="Times New Roman" w:cs="Times New Roman"/>
                <w:sz w:val="20"/>
                <w:szCs w:val="20"/>
                <w:lang w:val="ro-MD"/>
              </w:rPr>
            </w:pPr>
          </w:p>
          <w:p w14:paraId="4AB412B5" w14:textId="77777777" w:rsidR="00F3660E" w:rsidRPr="00502787" w:rsidRDefault="00F3660E" w:rsidP="00502787">
            <w:pPr>
              <w:jc w:val="both"/>
              <w:rPr>
                <w:rFonts w:ascii="Times New Roman" w:eastAsiaTheme="minorEastAsia" w:hAnsi="Times New Roman" w:cs="Times New Roman"/>
                <w:sz w:val="20"/>
                <w:szCs w:val="20"/>
                <w:lang w:val="ro-MD"/>
              </w:rPr>
            </w:pPr>
          </w:p>
          <w:p w14:paraId="793E7AD3" w14:textId="77777777" w:rsidR="00F3660E" w:rsidRPr="00502787" w:rsidRDefault="00F3660E" w:rsidP="00502787">
            <w:pPr>
              <w:jc w:val="both"/>
              <w:rPr>
                <w:rFonts w:ascii="Times New Roman" w:eastAsiaTheme="minorEastAsia" w:hAnsi="Times New Roman" w:cs="Times New Roman"/>
                <w:sz w:val="20"/>
                <w:szCs w:val="20"/>
                <w:lang w:val="ro-MD"/>
              </w:rPr>
            </w:pPr>
          </w:p>
          <w:p w14:paraId="6CFADF05" w14:textId="77777777" w:rsidR="00F3660E" w:rsidRPr="00502787" w:rsidRDefault="00F3660E" w:rsidP="00502787">
            <w:pPr>
              <w:jc w:val="both"/>
              <w:rPr>
                <w:rFonts w:ascii="Times New Roman" w:eastAsiaTheme="minorEastAsia" w:hAnsi="Times New Roman" w:cs="Times New Roman"/>
                <w:sz w:val="20"/>
                <w:szCs w:val="20"/>
                <w:lang w:val="ro-MD"/>
              </w:rPr>
            </w:pPr>
          </w:p>
          <w:p w14:paraId="6F4AB215" w14:textId="77777777" w:rsidR="00F3660E" w:rsidRPr="00502787" w:rsidRDefault="00F3660E" w:rsidP="00502787">
            <w:pPr>
              <w:jc w:val="both"/>
              <w:rPr>
                <w:rFonts w:ascii="Times New Roman" w:eastAsiaTheme="minorEastAsia" w:hAnsi="Times New Roman" w:cs="Times New Roman"/>
                <w:sz w:val="20"/>
                <w:szCs w:val="20"/>
                <w:lang w:val="ro-MD"/>
              </w:rPr>
            </w:pPr>
          </w:p>
          <w:p w14:paraId="1F9EC5CB" w14:textId="77777777" w:rsidR="00F3660E" w:rsidRPr="00502787" w:rsidRDefault="00F3660E" w:rsidP="00502787">
            <w:pPr>
              <w:jc w:val="both"/>
              <w:rPr>
                <w:rFonts w:ascii="Times New Roman" w:eastAsiaTheme="minorEastAsia" w:hAnsi="Times New Roman" w:cs="Times New Roman"/>
                <w:sz w:val="20"/>
                <w:szCs w:val="20"/>
                <w:lang w:val="ro-MD"/>
              </w:rPr>
            </w:pPr>
          </w:p>
          <w:p w14:paraId="2916C175" w14:textId="77777777" w:rsidR="00F3660E" w:rsidRPr="00502787" w:rsidRDefault="00F3660E" w:rsidP="00502787">
            <w:pPr>
              <w:jc w:val="both"/>
              <w:rPr>
                <w:rFonts w:ascii="Times New Roman" w:eastAsiaTheme="minorEastAsia" w:hAnsi="Times New Roman" w:cs="Times New Roman"/>
                <w:sz w:val="20"/>
                <w:szCs w:val="20"/>
                <w:lang w:val="ro-MD"/>
              </w:rPr>
            </w:pPr>
          </w:p>
          <w:p w14:paraId="69086EA2" w14:textId="77777777" w:rsidR="00F3660E" w:rsidRPr="00502787" w:rsidRDefault="00F3660E" w:rsidP="00502787">
            <w:pPr>
              <w:jc w:val="both"/>
              <w:rPr>
                <w:rFonts w:ascii="Times New Roman" w:eastAsiaTheme="minorEastAsia" w:hAnsi="Times New Roman" w:cs="Times New Roman"/>
                <w:sz w:val="20"/>
                <w:szCs w:val="20"/>
                <w:lang w:val="ro-MD"/>
              </w:rPr>
            </w:pPr>
          </w:p>
          <w:p w14:paraId="0389217C" w14:textId="77777777" w:rsidR="00F3660E" w:rsidRPr="00502787" w:rsidRDefault="00F3660E" w:rsidP="00502787">
            <w:pPr>
              <w:jc w:val="both"/>
              <w:rPr>
                <w:rFonts w:ascii="Times New Roman" w:eastAsiaTheme="minorEastAsia" w:hAnsi="Times New Roman" w:cs="Times New Roman"/>
                <w:sz w:val="20"/>
                <w:szCs w:val="20"/>
                <w:lang w:val="ro-MD"/>
              </w:rPr>
            </w:pPr>
          </w:p>
          <w:p w14:paraId="3ED6435A" w14:textId="77777777" w:rsidR="00F3660E" w:rsidRPr="00502787" w:rsidRDefault="00F3660E" w:rsidP="00502787">
            <w:pPr>
              <w:jc w:val="both"/>
              <w:rPr>
                <w:rFonts w:ascii="Times New Roman" w:eastAsiaTheme="minorEastAsia" w:hAnsi="Times New Roman" w:cs="Times New Roman"/>
                <w:sz w:val="20"/>
                <w:szCs w:val="20"/>
                <w:lang w:val="ro-MD"/>
              </w:rPr>
            </w:pPr>
          </w:p>
          <w:p w14:paraId="3CE29B1A" w14:textId="77777777" w:rsidR="00F3660E" w:rsidRPr="00502787" w:rsidRDefault="00F3660E" w:rsidP="00502787">
            <w:pPr>
              <w:jc w:val="both"/>
              <w:rPr>
                <w:rFonts w:ascii="Times New Roman" w:eastAsiaTheme="minorEastAsia" w:hAnsi="Times New Roman" w:cs="Times New Roman"/>
                <w:sz w:val="20"/>
                <w:szCs w:val="20"/>
                <w:lang w:val="ro-MD"/>
              </w:rPr>
            </w:pPr>
          </w:p>
          <w:p w14:paraId="5C651241" w14:textId="77777777" w:rsidR="00F3660E" w:rsidRPr="00502787" w:rsidRDefault="00F3660E" w:rsidP="00502787">
            <w:pPr>
              <w:jc w:val="both"/>
              <w:rPr>
                <w:rFonts w:ascii="Times New Roman" w:eastAsiaTheme="minorEastAsia" w:hAnsi="Times New Roman" w:cs="Times New Roman"/>
                <w:sz w:val="20"/>
                <w:szCs w:val="20"/>
                <w:lang w:val="ro-MD"/>
              </w:rPr>
            </w:pPr>
          </w:p>
          <w:p w14:paraId="2C7A3157" w14:textId="77777777" w:rsidR="00F3660E" w:rsidRPr="00502787" w:rsidRDefault="00480C4A" w:rsidP="00502787">
            <w:pPr>
              <w:jc w:val="both"/>
              <w:rPr>
                <w:rFonts w:ascii="Times New Roman" w:eastAsiaTheme="minorEastAsia" w:hAnsi="Times New Roman" w:cs="Times New Roman"/>
                <w:sz w:val="20"/>
                <w:szCs w:val="20"/>
                <w:lang w:val="ro-MD"/>
              </w:rPr>
            </w:pPr>
            <w:r w:rsidRPr="00502787">
              <w:rPr>
                <w:rFonts w:ascii="Times New Roman" w:eastAsiaTheme="minorEastAsia" w:hAnsi="Times New Roman" w:cs="Times New Roman"/>
                <w:sz w:val="20"/>
                <w:szCs w:val="20"/>
                <w:lang w:val="ro-MD"/>
              </w:rPr>
              <w:t>• Aplicarea aceleiași cote TVA „de la furcă la furculiță” – perpetuarea modelului actual de aplicare diferențiată a TVA în lanțul agro-alimentar creează distorsiuni, iar pe termen lung toate părțile interesate au de pierdute. Încercarea trecută a Guvernului Chicu ca prin politica fiscală din anul 2021 să introducă o cotă de TVA de 12% pe tot lanțul a fost torpilată de diferite asociații agricole și în cele din urmă s-a renunțat la măsură. Chiar dacă pe termen scurt anumite părți ar avea de câștigat mai mult și altele mai puțin, pe termen mediu și lung cota unică a TVA pe lanțul agro-alimentar este cea mai bună soluție și aplicarea ei este imperativă.</w:t>
            </w:r>
          </w:p>
          <w:p w14:paraId="66C3956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Eliminarea procedurii de licențierea provizorie a importurilor de cereale și oleaginoase, măsură ce deraiază de la principiile unei economii libere, dar și lovește în industria alimentară a țării. Această măsură a fost introdusă la presiunea unor asociații de fermieri, inițial prin intermediul Comisiei Situații Excepționale (CSE) în octombrie 2023, apoi, ,în iulie 2024, a fost legiferată în Parlament până </w:t>
            </w:r>
            <w:r w:rsidRPr="00502787">
              <w:rPr>
                <w:rFonts w:ascii="Times New Roman" w:eastAsiaTheme="minorEastAsia" w:hAnsi="Times New Roman" w:cs="Times New Roman"/>
                <w:sz w:val="20"/>
                <w:szCs w:val="20"/>
                <w:lang w:val="ro-MD"/>
              </w:rPr>
              <w:lastRenderedPageBreak/>
              <w:t>la sfârșitul anului curent, cu posibilitatea extinderii cu încă un an. Măsura dată deja a produs efecte nefaste prin ratarea unor exporturi de produse cu valoare adăugată, precum ulei de floarea soarelui și alcool, în favoarea exporturilor de materii prime. Pe lângă aceasta, măsura vulnerabilizează țara în raport cu respectarea rigorilor Organizației Mondiale a Comerțului. Doar în anul 2024 exporturile de ulei de floarea soarelui s-au redus de 2 ori, în timp ce importurile au crescut de 2,6 ori. În rezultat, doar din comerțul extern cu ulei balanța comercială a țării s-a înrăutățit în anul 2024 cu 168 milioane USD.</w:t>
            </w:r>
          </w:p>
          <w:p w14:paraId="784725C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Susținerea micilor producători prin simplificarea cadrului normativ de operare și programe de suport - datele din cercetarea Demografia întreprinderilor arată o discrepanță de 18,5 puncte procentuale dintre rata de supraviețuire după primul an per total economie (47,7%) raportat la rata din industria prelucrătoare (29,2%). Per ansamblu, rata de supraviețuire mai mică din activitatea de producere se explică printr-un nivel de sofisticare mai ridicat al afacerilor care impun cunoștințe și expertiză mai complexă, dar și prin necesitatea unui capital inițial mult mai mare. Dezvoltarea industriei moldovenești este marcată și de puternice dezechilibre regionale, care din motive obiective pot fi atenuate doar prin susținerea producerii la scară mică. În condițiile în care cele mai multe raioane cu cel mai redus nivel de industrializare se caracterizează și printr-o densitate redusă a populației, este evident că atragerea mai departe a unor investitori care să creeze întreprinderi mari cu multe locuri de muncă este puțin fezabilă. În schimb, susținerea activității producției la scară mică poate constitui un imbold pentru sporirea nivelului de industrializare, atenuarea depopulării, dar și posibilitatea de a substitui o parte din importuri. Există mai multe inițiative încă din anul 2022 care încă nu au vreo finalitate nici la momentul actual.</w:t>
            </w:r>
          </w:p>
          <w:p w14:paraId="47E1D4B7" w14:textId="7A23AD0E" w:rsidR="00F3660E" w:rsidRPr="00502787" w:rsidRDefault="00480C4A" w:rsidP="00502787">
            <w:pPr>
              <w:jc w:val="both"/>
              <w:rPr>
                <w:rFonts w:ascii="Times New Roman" w:eastAsiaTheme="minorEastAsia" w:hAnsi="Times New Roman" w:cs="Times New Roman"/>
                <w:sz w:val="20"/>
                <w:szCs w:val="20"/>
                <w:lang w:val="ro-MD"/>
              </w:rPr>
            </w:pPr>
            <w:r w:rsidRPr="00502787">
              <w:rPr>
                <w:rFonts w:ascii="Times New Roman" w:eastAsiaTheme="minorEastAsia" w:hAnsi="Times New Roman" w:cs="Times New Roman"/>
                <w:sz w:val="20"/>
                <w:szCs w:val="20"/>
                <w:lang w:val="ro-MD"/>
              </w:rPr>
              <w:t>• Consolidarea cadrului de supraveghere a pieței interne, astfel încât produsele introduse pe piață să respecte standardele UE de calitate și siguranță. În plus, cadrul de protecție a consumatorilor ar trebui îmbunătățit semnificativ prin punerea în aplicare a unor instrumente digitale adecvate pentru a facilita depunerea și gestionarea petițiilor consumatorilor, consolidarea cadrului instituțional și alinierea deplină la acquis-ul UE. Aceste măsuri ar permite eliminarea de pe piață a produselor de import de calitate îndoielnică care fac concurență neloială producătorilor autohtoni.</w:t>
            </w:r>
          </w:p>
          <w:p w14:paraId="3DAA5C7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Asigurarea unei proporționalități rezonabile dintre interesele de securitate și cele de atragere a investitorilor străini și argumentarea deciziilor Guvernului – de exemplu, folosirea Consiliului pentru promovarea proiectelor investiționale de importanță națională drept vehicul pentru contracararea unor potențiale amenințări de securitate sau de protejare a spațiului informațional este cel puțin discutabilă, mai ales dacă e să ținem cont de dovezile limitate enunțate de această structură în argumentarea propriilor decizii. Totodată, legea nr. 174/2021 privind mecanismul de examinare a investițiilor de importanță pentru securitatea statului în anumite situații poate servi un instrument de descurajare a investițiilor (deși ar trebui să fie o lege ce protejează statul). În acest context, recomandăm stabilirea </w:t>
            </w:r>
            <w:r w:rsidRPr="00502787">
              <w:rPr>
                <w:rFonts w:ascii="Times New Roman" w:eastAsiaTheme="minorEastAsia" w:hAnsi="Times New Roman" w:cs="Times New Roman"/>
                <w:sz w:val="20"/>
                <w:szCs w:val="20"/>
                <w:lang w:val="ro-MD"/>
              </w:rPr>
              <w:lastRenderedPageBreak/>
              <w:t>unui plafon minim de la care prevederile acestei legi devin active pentru a nu perturba și birocratiza investițiile mici care nu au implicații asupra securității statului, dar și detalierea mai clară a prevederilor.</w:t>
            </w:r>
          </w:p>
        </w:tc>
        <w:tc>
          <w:tcPr>
            <w:tcW w:w="4819" w:type="dxa"/>
            <w:vMerge w:val="restart"/>
          </w:tcPr>
          <w:p w14:paraId="4BA99E2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45258ACC" w14:textId="77777777" w:rsidR="00F3660E" w:rsidRPr="00502787" w:rsidRDefault="00F3660E" w:rsidP="00502787">
            <w:pPr>
              <w:jc w:val="both"/>
              <w:rPr>
                <w:rFonts w:ascii="Times New Roman" w:hAnsi="Times New Roman" w:cs="Times New Roman"/>
                <w:sz w:val="20"/>
                <w:szCs w:val="20"/>
                <w:lang w:val="ro-MD"/>
              </w:rPr>
            </w:pPr>
          </w:p>
          <w:p w14:paraId="638D90F0" w14:textId="71A1C29C"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Este planificată transpunerea directivei 2019/1023 privind restructurarea și insolvența.</w:t>
            </w:r>
          </w:p>
          <w:p w14:paraId="48FE3A47" w14:textId="77777777" w:rsidR="00F3660E" w:rsidRPr="00502787" w:rsidRDefault="00F3660E" w:rsidP="00502787">
            <w:pPr>
              <w:jc w:val="both"/>
              <w:rPr>
                <w:rFonts w:ascii="Times New Roman" w:hAnsi="Times New Roman" w:cs="Times New Roman"/>
                <w:sz w:val="20"/>
                <w:szCs w:val="20"/>
                <w:lang w:val="ro-MD"/>
              </w:rPr>
            </w:pPr>
          </w:p>
          <w:p w14:paraId="35A90B86" w14:textId="43411DED" w:rsidR="00F3660E" w:rsidRPr="00502787" w:rsidRDefault="00F3660E" w:rsidP="00502787">
            <w:pPr>
              <w:jc w:val="both"/>
              <w:rPr>
                <w:rFonts w:ascii="Times New Roman" w:hAnsi="Times New Roman" w:cs="Times New Roman"/>
                <w:sz w:val="20"/>
                <w:szCs w:val="20"/>
                <w:lang w:val="ro-MD"/>
              </w:rPr>
            </w:pPr>
          </w:p>
          <w:p w14:paraId="3425E883" w14:textId="77777777" w:rsidR="002441BB" w:rsidRPr="00502787" w:rsidRDefault="002441BB" w:rsidP="00502787">
            <w:pPr>
              <w:jc w:val="both"/>
              <w:rPr>
                <w:rFonts w:ascii="Times New Roman" w:hAnsi="Times New Roman" w:cs="Times New Roman"/>
                <w:sz w:val="20"/>
                <w:szCs w:val="20"/>
                <w:lang w:val="ro-MD"/>
              </w:rPr>
            </w:pPr>
          </w:p>
          <w:p w14:paraId="312BED12" w14:textId="77777777" w:rsidR="00F3660E" w:rsidRPr="00502787" w:rsidRDefault="00F3660E" w:rsidP="00502787">
            <w:pPr>
              <w:jc w:val="both"/>
              <w:rPr>
                <w:rFonts w:ascii="Times New Roman" w:hAnsi="Times New Roman" w:cs="Times New Roman"/>
                <w:sz w:val="20"/>
                <w:szCs w:val="20"/>
                <w:lang w:val="ro-MD"/>
              </w:rPr>
            </w:pPr>
          </w:p>
          <w:p w14:paraId="7D3299C3" w14:textId="77777777" w:rsidR="00F3660E" w:rsidRPr="00502787" w:rsidRDefault="00F3660E" w:rsidP="00502787">
            <w:pPr>
              <w:jc w:val="both"/>
              <w:rPr>
                <w:rFonts w:ascii="Times New Roman" w:hAnsi="Times New Roman" w:cs="Times New Roman"/>
                <w:sz w:val="20"/>
                <w:szCs w:val="20"/>
                <w:lang w:val="ro-MD"/>
              </w:rPr>
            </w:pPr>
          </w:p>
          <w:p w14:paraId="1941BFF5" w14:textId="77777777" w:rsidR="00F3660E" w:rsidRPr="00502787" w:rsidRDefault="00F3660E" w:rsidP="00502787">
            <w:pPr>
              <w:jc w:val="both"/>
              <w:rPr>
                <w:rFonts w:ascii="Times New Roman" w:hAnsi="Times New Roman" w:cs="Times New Roman"/>
                <w:sz w:val="20"/>
                <w:szCs w:val="20"/>
                <w:lang w:val="ro-MD"/>
              </w:rPr>
            </w:pPr>
          </w:p>
          <w:p w14:paraId="0A6DE60F" w14:textId="77777777" w:rsidR="00F3660E" w:rsidRPr="00502787" w:rsidRDefault="00F3660E" w:rsidP="00502787">
            <w:pPr>
              <w:jc w:val="both"/>
              <w:rPr>
                <w:rFonts w:ascii="Times New Roman" w:hAnsi="Times New Roman" w:cs="Times New Roman"/>
                <w:sz w:val="20"/>
                <w:szCs w:val="20"/>
                <w:lang w:val="ro-MD"/>
              </w:rPr>
            </w:pPr>
          </w:p>
          <w:p w14:paraId="351F8EF0" w14:textId="77777777" w:rsidR="00F3660E" w:rsidRPr="00502787" w:rsidRDefault="00F3660E" w:rsidP="00502787">
            <w:pPr>
              <w:jc w:val="both"/>
              <w:rPr>
                <w:rFonts w:ascii="Times New Roman" w:hAnsi="Times New Roman" w:cs="Times New Roman"/>
                <w:sz w:val="20"/>
                <w:szCs w:val="20"/>
                <w:lang w:val="ro-MD"/>
              </w:rPr>
            </w:pPr>
          </w:p>
          <w:p w14:paraId="16BB5D97" w14:textId="77777777" w:rsidR="00F3660E" w:rsidRPr="00502787" w:rsidRDefault="00F3660E" w:rsidP="00502787">
            <w:pPr>
              <w:jc w:val="both"/>
              <w:rPr>
                <w:rFonts w:ascii="Times New Roman" w:hAnsi="Times New Roman" w:cs="Times New Roman"/>
                <w:sz w:val="20"/>
                <w:szCs w:val="20"/>
                <w:lang w:val="ro-MD"/>
              </w:rPr>
            </w:pPr>
          </w:p>
          <w:p w14:paraId="2D021983" w14:textId="77777777" w:rsidR="00F3660E" w:rsidRPr="00502787" w:rsidRDefault="00F3660E" w:rsidP="00502787">
            <w:pPr>
              <w:jc w:val="both"/>
              <w:rPr>
                <w:rFonts w:ascii="Times New Roman" w:hAnsi="Times New Roman" w:cs="Times New Roman"/>
                <w:sz w:val="20"/>
                <w:szCs w:val="20"/>
                <w:lang w:val="ro-MD"/>
              </w:rPr>
            </w:pPr>
          </w:p>
          <w:p w14:paraId="44997E25" w14:textId="77777777" w:rsidR="00F3660E" w:rsidRPr="00502787" w:rsidRDefault="00F3660E" w:rsidP="00502787">
            <w:pPr>
              <w:jc w:val="both"/>
              <w:rPr>
                <w:rFonts w:ascii="Times New Roman" w:hAnsi="Times New Roman" w:cs="Times New Roman"/>
                <w:sz w:val="20"/>
                <w:szCs w:val="20"/>
                <w:lang w:val="ro-MD"/>
              </w:rPr>
            </w:pPr>
          </w:p>
          <w:p w14:paraId="4F893D3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MDED</w:t>
            </w:r>
          </w:p>
          <w:p w14:paraId="5EFD3BE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MDED deja este în proces de aliniere. În faza de finalizare elaborarea proiectului de Lege pentru modificarea Legii 179/2016 care se intenționează  alinierea totală la Recomandarea comisiei. Urmează consultări publice cu mediul de afaceri pentru a dezbate până la care plafon (Venit din Vânzări, Active) ne vom alinia.</w:t>
            </w:r>
          </w:p>
          <w:p w14:paraId="33F08C46" w14:textId="77777777" w:rsidR="00F3660E" w:rsidRPr="00502787" w:rsidRDefault="00F3660E" w:rsidP="00502787">
            <w:pPr>
              <w:jc w:val="both"/>
              <w:rPr>
                <w:rFonts w:ascii="Times New Roman" w:hAnsi="Times New Roman" w:cs="Times New Roman"/>
                <w:sz w:val="20"/>
                <w:szCs w:val="20"/>
                <w:lang w:val="ro-MD"/>
              </w:rPr>
            </w:pPr>
          </w:p>
          <w:p w14:paraId="2E423478" w14:textId="77777777" w:rsidR="00F3660E" w:rsidRPr="00502787" w:rsidRDefault="00F3660E" w:rsidP="00502787">
            <w:pPr>
              <w:jc w:val="both"/>
              <w:rPr>
                <w:rFonts w:ascii="Times New Roman" w:hAnsi="Times New Roman" w:cs="Times New Roman"/>
                <w:sz w:val="20"/>
                <w:szCs w:val="20"/>
                <w:lang w:val="ro-MD"/>
              </w:rPr>
            </w:pPr>
          </w:p>
          <w:p w14:paraId="3CE3ADAB" w14:textId="77777777" w:rsidR="00F3660E" w:rsidRPr="00502787" w:rsidRDefault="00F3660E" w:rsidP="00502787">
            <w:pPr>
              <w:jc w:val="both"/>
              <w:rPr>
                <w:rFonts w:ascii="Times New Roman" w:hAnsi="Times New Roman" w:cs="Times New Roman"/>
                <w:sz w:val="20"/>
                <w:szCs w:val="20"/>
                <w:lang w:val="ro-MD"/>
              </w:rPr>
            </w:pPr>
          </w:p>
          <w:p w14:paraId="058A5D4E" w14:textId="77777777" w:rsidR="00F3660E" w:rsidRPr="00502787" w:rsidRDefault="00F3660E" w:rsidP="00502787">
            <w:pPr>
              <w:jc w:val="both"/>
              <w:rPr>
                <w:rFonts w:ascii="Times New Roman" w:hAnsi="Times New Roman" w:cs="Times New Roman"/>
                <w:sz w:val="20"/>
                <w:szCs w:val="20"/>
                <w:lang w:val="ro-MD"/>
              </w:rPr>
            </w:pPr>
          </w:p>
          <w:p w14:paraId="48FF65CE" w14:textId="77777777" w:rsidR="002441BB" w:rsidRPr="00502787" w:rsidRDefault="002441BB" w:rsidP="00502787">
            <w:pPr>
              <w:jc w:val="both"/>
              <w:rPr>
                <w:rFonts w:ascii="Times New Roman" w:hAnsi="Times New Roman" w:cs="Times New Roman"/>
                <w:sz w:val="20"/>
                <w:szCs w:val="20"/>
                <w:lang w:val="ro-MD"/>
              </w:rPr>
            </w:pPr>
          </w:p>
          <w:p w14:paraId="24A89EF8" w14:textId="77777777" w:rsidR="002441BB" w:rsidRPr="00502787" w:rsidRDefault="002441BB" w:rsidP="00502787">
            <w:pPr>
              <w:jc w:val="both"/>
              <w:rPr>
                <w:rFonts w:ascii="Times New Roman" w:hAnsi="Times New Roman" w:cs="Times New Roman"/>
                <w:sz w:val="20"/>
                <w:szCs w:val="20"/>
                <w:lang w:val="ro-MD"/>
              </w:rPr>
            </w:pPr>
          </w:p>
          <w:p w14:paraId="282A2732" w14:textId="697ABCC4"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4A171C9B" w14:textId="0AE9B82C"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Aplicarea condiționalităților și verificarea respectării acestora ca precondiție a subvenționării presupune aplicarea normelor de verificare și control de către AIPA. Implementarea Agendei de Reforme presupune elaborea mecanismelor care perimit implementarea acestor prevederi.</w:t>
            </w:r>
          </w:p>
          <w:p w14:paraId="73B13B93" w14:textId="77777777" w:rsidR="00F3660E" w:rsidRPr="00502787" w:rsidRDefault="00F3660E" w:rsidP="00502787">
            <w:pPr>
              <w:jc w:val="both"/>
              <w:rPr>
                <w:rFonts w:ascii="Times New Roman" w:hAnsi="Times New Roman" w:cs="Times New Roman"/>
                <w:sz w:val="20"/>
                <w:szCs w:val="20"/>
                <w:lang w:val="ro-MD"/>
              </w:rPr>
            </w:pPr>
          </w:p>
          <w:p w14:paraId="71476B5D" w14:textId="77777777" w:rsidR="00F3660E" w:rsidRPr="00502787" w:rsidRDefault="00F3660E" w:rsidP="00502787">
            <w:pPr>
              <w:jc w:val="both"/>
              <w:rPr>
                <w:rFonts w:ascii="Times New Roman" w:hAnsi="Times New Roman" w:cs="Times New Roman"/>
                <w:sz w:val="20"/>
                <w:szCs w:val="20"/>
                <w:lang w:val="ro-MD"/>
              </w:rPr>
            </w:pPr>
          </w:p>
          <w:p w14:paraId="5BEEBD74" w14:textId="77777777" w:rsidR="00F3660E" w:rsidRPr="00502787" w:rsidRDefault="00F3660E" w:rsidP="00502787">
            <w:pPr>
              <w:jc w:val="both"/>
              <w:rPr>
                <w:rFonts w:ascii="Times New Roman" w:hAnsi="Times New Roman" w:cs="Times New Roman"/>
                <w:sz w:val="20"/>
                <w:szCs w:val="20"/>
                <w:lang w:val="ro-MD"/>
              </w:rPr>
            </w:pPr>
          </w:p>
          <w:p w14:paraId="70E6EFEB" w14:textId="77777777" w:rsidR="00F3660E" w:rsidRPr="00502787" w:rsidRDefault="00F3660E" w:rsidP="00502787">
            <w:pPr>
              <w:jc w:val="both"/>
              <w:rPr>
                <w:rFonts w:ascii="Times New Roman" w:hAnsi="Times New Roman" w:cs="Times New Roman"/>
                <w:sz w:val="20"/>
                <w:szCs w:val="20"/>
                <w:lang w:val="ro-MD"/>
              </w:rPr>
            </w:pPr>
          </w:p>
          <w:p w14:paraId="668EEFF9" w14:textId="77777777" w:rsidR="00F3660E" w:rsidRPr="00502787" w:rsidRDefault="00F3660E" w:rsidP="00502787">
            <w:pPr>
              <w:jc w:val="both"/>
              <w:rPr>
                <w:rFonts w:ascii="Times New Roman" w:hAnsi="Times New Roman" w:cs="Times New Roman"/>
                <w:sz w:val="20"/>
                <w:szCs w:val="20"/>
                <w:lang w:val="ro-MD"/>
              </w:rPr>
            </w:pPr>
          </w:p>
          <w:p w14:paraId="149908FD" w14:textId="77777777" w:rsidR="00F3660E" w:rsidRPr="00502787" w:rsidRDefault="00F3660E" w:rsidP="00502787">
            <w:pPr>
              <w:jc w:val="both"/>
              <w:rPr>
                <w:rFonts w:ascii="Times New Roman" w:hAnsi="Times New Roman" w:cs="Times New Roman"/>
                <w:sz w:val="20"/>
                <w:szCs w:val="20"/>
                <w:lang w:val="ro-MD"/>
              </w:rPr>
            </w:pPr>
          </w:p>
          <w:p w14:paraId="4DFA8A1B" w14:textId="77777777" w:rsidR="00F3660E" w:rsidRPr="00502787" w:rsidRDefault="00F3660E" w:rsidP="00502787">
            <w:pPr>
              <w:jc w:val="both"/>
              <w:rPr>
                <w:rFonts w:ascii="Times New Roman" w:hAnsi="Times New Roman" w:cs="Times New Roman"/>
                <w:sz w:val="20"/>
                <w:szCs w:val="20"/>
                <w:lang w:val="ro-MD"/>
              </w:rPr>
            </w:pPr>
          </w:p>
          <w:p w14:paraId="1F91107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1B326DB8" w14:textId="77777777" w:rsidR="00F3660E" w:rsidRPr="00502787" w:rsidRDefault="00F3660E" w:rsidP="00502787">
            <w:pPr>
              <w:jc w:val="both"/>
              <w:rPr>
                <w:rFonts w:ascii="Times New Roman" w:hAnsi="Times New Roman" w:cs="Times New Roman"/>
                <w:sz w:val="20"/>
                <w:szCs w:val="20"/>
                <w:lang w:val="ro-MD"/>
              </w:rPr>
            </w:pPr>
          </w:p>
          <w:p w14:paraId="78A7EB4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Cu toate că nu face direct obiectul Agendei de Reformă, ajustarea cadrului normativ cu privire la subvenționarea în agricultură este inițiat. Astfel, Ministerul Agriculturii și Industriei Alimentare a pregătit proiectul de lege privind finanțarea, gestionarea și monitorizarea politicii agricole, înregistrat în Parlament cu nr. 382 din 18 decembrie 2024.</w:t>
            </w:r>
          </w:p>
          <w:p w14:paraId="5CFB09C4" w14:textId="77777777" w:rsidR="00F3660E" w:rsidRPr="00502787" w:rsidRDefault="00F3660E" w:rsidP="00502787">
            <w:pPr>
              <w:jc w:val="both"/>
              <w:rPr>
                <w:rFonts w:ascii="Times New Roman" w:hAnsi="Times New Roman" w:cs="Times New Roman"/>
                <w:sz w:val="20"/>
                <w:szCs w:val="20"/>
                <w:lang w:val="ro-MD"/>
              </w:rPr>
            </w:pPr>
          </w:p>
          <w:p w14:paraId="25B29CEA" w14:textId="77777777" w:rsidR="00F3660E" w:rsidRPr="00502787" w:rsidRDefault="00F3660E" w:rsidP="00502787">
            <w:pPr>
              <w:jc w:val="both"/>
              <w:rPr>
                <w:rFonts w:ascii="Times New Roman" w:hAnsi="Times New Roman" w:cs="Times New Roman"/>
                <w:sz w:val="20"/>
                <w:szCs w:val="20"/>
                <w:lang w:val="ro-MD"/>
              </w:rPr>
            </w:pPr>
          </w:p>
          <w:p w14:paraId="503A8863" w14:textId="77777777" w:rsidR="00F3660E" w:rsidRPr="00502787" w:rsidRDefault="00F3660E" w:rsidP="00502787">
            <w:pPr>
              <w:jc w:val="both"/>
              <w:rPr>
                <w:rFonts w:ascii="Times New Roman" w:hAnsi="Times New Roman" w:cs="Times New Roman"/>
                <w:sz w:val="20"/>
                <w:szCs w:val="20"/>
                <w:lang w:val="ro-MD"/>
              </w:rPr>
            </w:pPr>
          </w:p>
          <w:p w14:paraId="708F0D76" w14:textId="77777777" w:rsidR="00F3660E" w:rsidRPr="00502787" w:rsidRDefault="00F3660E" w:rsidP="00502787">
            <w:pPr>
              <w:jc w:val="both"/>
              <w:rPr>
                <w:rFonts w:ascii="Times New Roman" w:hAnsi="Times New Roman" w:cs="Times New Roman"/>
                <w:sz w:val="20"/>
                <w:szCs w:val="20"/>
                <w:lang w:val="ro-MD"/>
              </w:rPr>
            </w:pPr>
          </w:p>
          <w:p w14:paraId="3B045D5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w:t>
            </w:r>
          </w:p>
          <w:p w14:paraId="317E3EB5" w14:textId="77777777" w:rsidR="00F3660E" w:rsidRPr="00502787" w:rsidRDefault="00F3660E" w:rsidP="00502787">
            <w:pPr>
              <w:jc w:val="both"/>
              <w:rPr>
                <w:rFonts w:ascii="Times New Roman" w:hAnsi="Times New Roman" w:cs="Times New Roman"/>
                <w:sz w:val="20"/>
                <w:szCs w:val="20"/>
                <w:lang w:val="ro-MD"/>
              </w:rPr>
            </w:pPr>
          </w:p>
          <w:p w14:paraId="533866A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Principiul „Primul venit, primul servit” în acordarea subvențiilor se aplică până la momentul actual prin actele normative care reglementează subvenționarea în agricultură și mediul rural. Subliniem faptul, că conform Regulamentului privind măsurile și condițiile specifice de eligibilitate pentru subvenționarea investiților din Fondul național de dezvoltare a agriculturii şi mediului rural, aprobat prin Hotărârea Guvernului nr. 491/2023, la momentul actual subvențiile pentru forma de subvenționare post-investiție se acordă conform principiului "Primul venit, primul servit”, în conformitate cu prevederile art. 26, alin. (5) din Legea nr. 71/2023 cu privire la principiile de subvenționare în agricultură și mediul rural. Astfel, comunicăm, că anume acest tip de subvenționare este motivul acumulării restanțelor, deoarece fermierul investește fragmentat la propria discreție, fără a ține cont de domeniile prioritare care ar atinge realizarea obiectivelor stabilite în documentele de politici.</w:t>
            </w:r>
          </w:p>
          <w:p w14:paraId="35C686F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1C3435A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acceptă de principiu</w:t>
            </w:r>
          </w:p>
          <w:p w14:paraId="19FA260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Programului Strategic al Politicii Agricole 2025-2030 (PSPA) a fost elaborat în vederea punerii în aplicare a Strategiei Naționale de dezvoltare Agricolă și Rurală pentru anii 2023-2030, aprobată prin Hotărârea Guvernului nr.56/2023 și a Strategiei Securității Alimentare aprobată prin HG 775/2022. Subiectele vizate fac parte din procesul de aliniere la politica gricola a UE precum și mecanismele de funcționare AIPA în vederea acreditării acesteia. </w:t>
            </w:r>
          </w:p>
          <w:p w14:paraId="2C927BEB" w14:textId="77777777" w:rsidR="00F3660E" w:rsidRPr="00502787" w:rsidRDefault="00F3660E" w:rsidP="00502787">
            <w:pPr>
              <w:jc w:val="both"/>
              <w:rPr>
                <w:rFonts w:ascii="Times New Roman" w:hAnsi="Times New Roman" w:cs="Times New Roman"/>
                <w:sz w:val="20"/>
                <w:szCs w:val="20"/>
                <w:lang w:val="ro-MD"/>
              </w:rPr>
            </w:pPr>
          </w:p>
          <w:p w14:paraId="0AA8ACE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03FD0AA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acceptă,organizațiile din domeniile cercetării și inovării nu sunt eligibile în cadrul Planului de creștere.</w:t>
            </w:r>
          </w:p>
          <w:p w14:paraId="1D8E9D7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 depune eforturi continue pentru identificarea și mobilizarea resurselor financiare necesare investițiilor în domeniul cercetării. În acest sens, începând cu anul 2024, au fost lansate și sunt în curs de implementare opt proiecte investiționale pentru organizațiile din domeniile de cercetării și inovării.</w:t>
            </w:r>
          </w:p>
          <w:p w14:paraId="033C585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w:t>
            </w:r>
          </w:p>
          <w:p w14:paraId="3D15E795" w14:textId="77777777" w:rsidR="00F3660E" w:rsidRPr="00502787" w:rsidRDefault="00F3660E" w:rsidP="00502787">
            <w:pPr>
              <w:jc w:val="both"/>
              <w:rPr>
                <w:rFonts w:ascii="Times New Roman" w:hAnsi="Times New Roman" w:cs="Times New Roman"/>
                <w:sz w:val="20"/>
                <w:szCs w:val="20"/>
                <w:lang w:val="ro-MD"/>
              </w:rPr>
            </w:pPr>
          </w:p>
          <w:p w14:paraId="0C62212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Banca Națională a Moldovei</w:t>
            </w:r>
          </w:p>
          <w:p w14:paraId="2B9E1CA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1. Cadrul normativ autohton cu privire la prevenirea și combaterea spălării banilor și finanțării terorismului, în particular </w:t>
            </w:r>
            <w:r w:rsidRPr="00502787">
              <w:rPr>
                <w:rFonts w:ascii="Times New Roman" w:hAnsi="Times New Roman" w:cs="Times New Roman"/>
                <w:i/>
                <w:sz w:val="20"/>
                <w:szCs w:val="20"/>
                <w:lang w:val="ro-MD"/>
              </w:rPr>
              <w:t>Legea nr. 308/2017 cu privire la prevenirea și combaterea spălării banilor și finanțării terorismului</w:t>
            </w:r>
            <w:r w:rsidRPr="00502787">
              <w:rPr>
                <w:rFonts w:ascii="Times New Roman" w:hAnsi="Times New Roman" w:cs="Times New Roman"/>
                <w:sz w:val="20"/>
                <w:szCs w:val="20"/>
                <w:lang w:val="ro-MD"/>
              </w:rPr>
              <w:t xml:space="preserve"> și regulamentele cu privire la cerințele privind prevenirea și combaterea spălării banilor și finanțării terorismului aprobate de Banca Națională a Moldovei, transpun prevederile Directivei (UE) 2015/849 privind prevenirea utilizării sistemului financiar în scopul spălării banilor sau finanțării terorismului, precum și implementarea cerințelor standardelor internaționale privind prevenirea și combaterea spălării banilor, finanțării terorismului și a proliferării armelor de distrugere în masă, adoptate de către Grupul de Acțiune Financiară Internațională (GAFI sau FATF) în februarie 2012, cu revizuirile ulterioare. Corespunderea cadrului normativ autohton în domeniul prevederii și combaterii spălării banilor și finanțării terorismului cu standardele internaționale în domeniu a fost evaluată de Comitetul MONEYVAL al Consiliului Europei în anul 2019, fiind apreciat drept compatibil cu standardele internaționale FATF. La 24 mai 2024 a fost adoptat cel de-al 2-a Raport de progres al Comitetului Moneyval conform căruia Republica Moldova a raportat progresele în abordarea deficiențelor restante la momentul evaluării inițiale din anul 2019. În ansamblu, în lumina progresului înregistrat de Republica Moldova de la adoptarea raportului său de evaluare reciprocă și primul raport de urmărire, conformitatea sa tehnică cu recomandările FATF a fost reevaluată după cum urmează:</w:t>
            </w:r>
          </w:p>
          <w:p w14:paraId="6BBECDF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 pentru Recomandarea 6 (Targeted financial sanctions related to terrorism and terrorist financing) nivelul de conformitate a fost reevaluat de la „Parțial conform” la „În mare parte conform”;</w:t>
            </w:r>
          </w:p>
          <w:p w14:paraId="11F09AF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 pentru Recomandarea 7 (Targeted financial sanctions related to proliferation) nivelul de conformitate a fost reevaluat de la „Parțial conform” la „În mare parte conform”;</w:t>
            </w:r>
          </w:p>
          <w:p w14:paraId="56765AA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 pentru Recomandarea 15 (New technologies) nivelul de conformitate a fost reevaluat de la „Neconform” la „Parțial conform”;</w:t>
            </w:r>
          </w:p>
          <w:p w14:paraId="157FF5A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 pentru 34 de recomandări FATF nivelul de conformitate este actualmente „În mare parte conform”/„Conform”;</w:t>
            </w:r>
          </w:p>
          <w:p w14:paraId="690105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pentru următoarele 6 recomandări FATF nivelul actual de conformitate este „Parțial conform”: Recomandarea nr. 8 (Non-profit organisations), Recomandarea nr. 15 (New technologies), Recomandarea nr. 22 ((DNFBPs (designated non-financial businesses and professions): Customer due diligence), Recomandarea nr. 24 (Transparency and beneficial ownership of legal persons), Recomandarea nr. 25 (Transparency and beneficial ownership of legal arrangements), Recomandarea nr. 38 (Mutual legal assistance: freezing and confiscation)).</w:t>
            </w:r>
          </w:p>
          <w:p w14:paraId="673FD1C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165FEFC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2. În același timp, înțelegând preocuparea firească expusă de Centrul analitic independent EXPERT-GRUP privind revizuirea cadrului în domeniul combaterii spălării banilor ca premisă pentru a stimula circulația capitalului, totuși considerăm că problema nu ține neapărat de existența reglementărilor prea stricte care creează obstacole semnificative în circulația capitalului. Mai mult decât atât, ținem să evidențiem în mod deosebit că eforturile autorităților naționale implicate în crearea și dezvoltarea cadrului de reglementare pe domeniul dat, nu urmăresc restrângerea sau diminuarea dezvoltării economiei, dar din contra, sunt total dedicate urmăririi scopului de interes național - protejarea sistemului național financiar-bancar, financiar-nebancar și a liber-profesioniștilor, apărarea drepturilor și intereselor legitime ale persoanelor fizice și juridice, precum și ale statului, fapt ce contribuie în mod direct asupra creșterii credibilității și ratingului țării, inclusiv din punctul de vedere al interesului investitorilor externi.</w:t>
            </w:r>
          </w:p>
          <w:p w14:paraId="797D698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w:t>
            </w:r>
          </w:p>
          <w:p w14:paraId="5B460C2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3. Considerând faptul că autoritatea cu atribuții și competențe în ceea ce ține de coordonarea la nivel național a domeniului prevenirii și combaterii spălării banilor este Serviciul Prevenirea și Combaterea Spălării Banilor, menționăm că avizul determinant cu privire la obiecțiile și propunerile (recomandările) la proiectul Agendei de Reforme pe domeniul dat, ar putea fi expus de autoritatea specificată. </w:t>
            </w:r>
          </w:p>
          <w:p w14:paraId="294DF3BD" w14:textId="77777777" w:rsidR="00F3660E" w:rsidRPr="00502787" w:rsidRDefault="00F3660E" w:rsidP="00502787">
            <w:pPr>
              <w:jc w:val="both"/>
              <w:rPr>
                <w:rFonts w:ascii="Times New Roman" w:hAnsi="Times New Roman" w:cs="Times New Roman"/>
                <w:sz w:val="20"/>
                <w:szCs w:val="20"/>
                <w:lang w:val="ro-MD"/>
              </w:rPr>
            </w:pPr>
          </w:p>
          <w:p w14:paraId="2E8C67E3" w14:textId="77777777" w:rsidR="00F3660E" w:rsidRPr="00502787" w:rsidRDefault="00F3660E" w:rsidP="00502787">
            <w:pPr>
              <w:jc w:val="both"/>
              <w:rPr>
                <w:rFonts w:ascii="Times New Roman" w:hAnsi="Times New Roman" w:cs="Times New Roman"/>
                <w:sz w:val="20"/>
                <w:szCs w:val="20"/>
                <w:lang w:val="ro-MD"/>
              </w:rPr>
            </w:pPr>
          </w:p>
          <w:p w14:paraId="5B7A3B37" w14:textId="77777777" w:rsidR="00F3660E" w:rsidRPr="00502787" w:rsidRDefault="00F3660E" w:rsidP="00502787">
            <w:pPr>
              <w:jc w:val="both"/>
              <w:rPr>
                <w:rFonts w:ascii="Times New Roman" w:hAnsi="Times New Roman" w:cs="Times New Roman"/>
                <w:sz w:val="20"/>
                <w:szCs w:val="20"/>
                <w:lang w:val="ro-MD"/>
              </w:rPr>
            </w:pPr>
          </w:p>
          <w:p w14:paraId="7B3E9F51" w14:textId="77777777" w:rsidR="00F3660E" w:rsidRPr="00502787" w:rsidRDefault="00F3660E" w:rsidP="00502787">
            <w:pPr>
              <w:jc w:val="both"/>
              <w:rPr>
                <w:rFonts w:ascii="Times New Roman" w:hAnsi="Times New Roman" w:cs="Times New Roman"/>
                <w:sz w:val="20"/>
                <w:szCs w:val="20"/>
                <w:lang w:val="ro-MD"/>
              </w:rPr>
            </w:pPr>
          </w:p>
          <w:p w14:paraId="2C72EDA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Ministerului Finanțelor</w:t>
            </w:r>
          </w:p>
          <w:p w14:paraId="5014B41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Propunerea va fi examinată în cadrul  exercițiului de rescriere a </w:t>
            </w:r>
            <w:r w:rsidRPr="00502787">
              <w:rPr>
                <w:rFonts w:ascii="Times New Roman" w:hAnsi="Times New Roman" w:cs="Times New Roman"/>
                <w:i/>
                <w:sz w:val="20"/>
                <w:szCs w:val="20"/>
                <w:lang w:val="ro-MD"/>
              </w:rPr>
              <w:t>Titlului III din Codul fiscal nr.1163/1997</w:t>
            </w:r>
            <w:r w:rsidRPr="00502787">
              <w:rPr>
                <w:rFonts w:ascii="Times New Roman" w:hAnsi="Times New Roman" w:cs="Times New Roman"/>
                <w:sz w:val="20"/>
                <w:szCs w:val="20"/>
                <w:lang w:val="ro-MD"/>
              </w:rPr>
              <w:t>, prin prisma examinării complexe al sistemului de TVA național și cu calcularea impactului bugetar.</w:t>
            </w:r>
          </w:p>
          <w:p w14:paraId="454D3FE1" w14:textId="77777777" w:rsidR="00F3660E" w:rsidRPr="00502787" w:rsidRDefault="00F3660E" w:rsidP="00502787">
            <w:pPr>
              <w:jc w:val="both"/>
              <w:rPr>
                <w:rFonts w:ascii="Times New Roman" w:hAnsi="Times New Roman" w:cs="Times New Roman"/>
                <w:sz w:val="20"/>
                <w:szCs w:val="20"/>
                <w:lang w:val="ro-MD"/>
              </w:rPr>
            </w:pPr>
          </w:p>
          <w:p w14:paraId="3F9861B2" w14:textId="77777777" w:rsidR="00F3660E" w:rsidRPr="00502787" w:rsidRDefault="00F3660E" w:rsidP="00502787">
            <w:pPr>
              <w:jc w:val="both"/>
              <w:rPr>
                <w:rFonts w:ascii="Times New Roman" w:hAnsi="Times New Roman" w:cs="Times New Roman"/>
                <w:sz w:val="20"/>
                <w:szCs w:val="20"/>
                <w:lang w:val="ro-MD"/>
              </w:rPr>
            </w:pPr>
          </w:p>
          <w:p w14:paraId="53E8C407" w14:textId="77777777" w:rsidR="00F3660E" w:rsidRPr="00502787" w:rsidRDefault="00F3660E" w:rsidP="00502787">
            <w:pPr>
              <w:jc w:val="both"/>
              <w:rPr>
                <w:rFonts w:ascii="Times New Roman" w:hAnsi="Times New Roman" w:cs="Times New Roman"/>
                <w:sz w:val="20"/>
                <w:szCs w:val="20"/>
                <w:lang w:val="ro-MD"/>
              </w:rPr>
            </w:pPr>
          </w:p>
          <w:p w14:paraId="23B51CA2" w14:textId="77777777" w:rsidR="00F3660E" w:rsidRPr="00502787" w:rsidRDefault="00F3660E" w:rsidP="00502787">
            <w:pPr>
              <w:jc w:val="both"/>
              <w:rPr>
                <w:rFonts w:ascii="Times New Roman" w:hAnsi="Times New Roman" w:cs="Times New Roman"/>
                <w:sz w:val="20"/>
                <w:szCs w:val="20"/>
                <w:lang w:val="ro-MD"/>
              </w:rPr>
            </w:pPr>
          </w:p>
          <w:p w14:paraId="76182F64" w14:textId="77777777" w:rsidR="00F3660E" w:rsidRPr="00502787" w:rsidRDefault="00F3660E" w:rsidP="00502787">
            <w:pPr>
              <w:jc w:val="both"/>
              <w:rPr>
                <w:rFonts w:ascii="Times New Roman" w:hAnsi="Times New Roman" w:cs="Times New Roman"/>
                <w:sz w:val="20"/>
                <w:szCs w:val="20"/>
                <w:lang w:val="ro-MD"/>
              </w:rPr>
            </w:pPr>
          </w:p>
          <w:p w14:paraId="18DF068B" w14:textId="77777777" w:rsidR="00F3660E" w:rsidRPr="00502787" w:rsidRDefault="00F3660E" w:rsidP="00502787">
            <w:pPr>
              <w:jc w:val="both"/>
              <w:rPr>
                <w:rFonts w:ascii="Times New Roman" w:hAnsi="Times New Roman" w:cs="Times New Roman"/>
                <w:sz w:val="20"/>
                <w:szCs w:val="20"/>
                <w:lang w:val="ro-MD"/>
              </w:rPr>
            </w:pPr>
          </w:p>
          <w:p w14:paraId="3F0AB5A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18E863A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face obiectul Agendei de Reforme.</w:t>
            </w:r>
          </w:p>
          <w:p w14:paraId="26439AD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Perioada de licențiere este până la 30 iunie, dar există o posibilitatea de prelungire până la 31 decembrie conform Legii 170/2024. Totodată, urmare a modificărilor Legii 170/2024 licența importurilor de grâu, porumb și floarea-soarelui se solicită doar din țările a căror ponderi medii de importuri în ultimii 3 ani în cantitatea totală importată depășește 10%.</w:t>
            </w:r>
          </w:p>
          <w:p w14:paraId="0A9710A8" w14:textId="77777777" w:rsidR="00F3660E" w:rsidRPr="00502787" w:rsidRDefault="00F3660E" w:rsidP="00502787">
            <w:pPr>
              <w:jc w:val="both"/>
              <w:rPr>
                <w:rFonts w:ascii="Times New Roman" w:hAnsi="Times New Roman" w:cs="Times New Roman"/>
                <w:sz w:val="20"/>
                <w:szCs w:val="20"/>
                <w:lang w:val="ro-MD"/>
              </w:rPr>
            </w:pPr>
          </w:p>
          <w:p w14:paraId="6066B081" w14:textId="77777777" w:rsidR="00F3660E" w:rsidRPr="00502787" w:rsidRDefault="00F3660E" w:rsidP="00502787">
            <w:pPr>
              <w:jc w:val="both"/>
              <w:rPr>
                <w:rFonts w:ascii="Times New Roman" w:hAnsi="Times New Roman" w:cs="Times New Roman"/>
                <w:sz w:val="20"/>
                <w:szCs w:val="20"/>
                <w:lang w:val="ro-MD"/>
              </w:rPr>
            </w:pPr>
          </w:p>
          <w:p w14:paraId="5E8E3CE6" w14:textId="77777777" w:rsidR="00F3660E" w:rsidRPr="00502787" w:rsidRDefault="00F3660E" w:rsidP="00502787">
            <w:pPr>
              <w:jc w:val="both"/>
              <w:rPr>
                <w:rFonts w:ascii="Times New Roman" w:hAnsi="Times New Roman" w:cs="Times New Roman"/>
                <w:sz w:val="20"/>
                <w:szCs w:val="20"/>
                <w:lang w:val="ro-MD"/>
              </w:rPr>
            </w:pPr>
          </w:p>
          <w:p w14:paraId="11C31CF3" w14:textId="77777777" w:rsidR="00F3660E" w:rsidRPr="00502787" w:rsidRDefault="00F3660E" w:rsidP="00502787">
            <w:pPr>
              <w:jc w:val="both"/>
              <w:rPr>
                <w:rFonts w:ascii="Times New Roman" w:hAnsi="Times New Roman" w:cs="Times New Roman"/>
                <w:sz w:val="20"/>
                <w:szCs w:val="20"/>
                <w:lang w:val="ro-MD"/>
              </w:rPr>
            </w:pPr>
          </w:p>
          <w:p w14:paraId="053A3E25" w14:textId="77777777" w:rsidR="00F3660E" w:rsidRPr="00502787" w:rsidRDefault="00F3660E" w:rsidP="00502787">
            <w:pPr>
              <w:jc w:val="both"/>
              <w:rPr>
                <w:rFonts w:ascii="Times New Roman" w:hAnsi="Times New Roman" w:cs="Times New Roman"/>
                <w:sz w:val="20"/>
                <w:szCs w:val="20"/>
                <w:lang w:val="ro-MD"/>
              </w:rPr>
            </w:pPr>
          </w:p>
          <w:p w14:paraId="266EB6D5" w14:textId="77777777" w:rsidR="00F3660E" w:rsidRPr="00502787" w:rsidRDefault="00F3660E" w:rsidP="00502787">
            <w:pPr>
              <w:jc w:val="both"/>
              <w:rPr>
                <w:rFonts w:ascii="Times New Roman" w:hAnsi="Times New Roman" w:cs="Times New Roman"/>
                <w:sz w:val="20"/>
                <w:szCs w:val="20"/>
                <w:lang w:val="ro-MD"/>
              </w:rPr>
            </w:pPr>
          </w:p>
          <w:p w14:paraId="0068D55C" w14:textId="77777777" w:rsidR="00F3660E" w:rsidRPr="00502787" w:rsidRDefault="00F3660E" w:rsidP="00502787">
            <w:pPr>
              <w:jc w:val="both"/>
              <w:rPr>
                <w:rFonts w:ascii="Times New Roman" w:hAnsi="Times New Roman" w:cs="Times New Roman"/>
                <w:sz w:val="20"/>
                <w:szCs w:val="20"/>
                <w:lang w:val="ro-MD"/>
              </w:rPr>
            </w:pPr>
          </w:p>
          <w:p w14:paraId="50CDE4F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05D4C61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4EBF849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Au fost promovate și aprobate două programe dedicate susținerii dezvoltării producătorilor locali (atât cei la început de cale cât și care sunt în competitivitate cu produsele/serviciile ale întreprinderilor din afara țării):</w:t>
            </w:r>
          </w:p>
          <w:p w14:paraId="244D9B5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HG Nr. 531/2024 cu privire la aprobarea Programului de sprijin al micilor producători</w:t>
            </w:r>
          </w:p>
          <w:p w14:paraId="504C812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HG Nr. 30/2025 cu privire la aprobarea Programului de creștere a competitivității producătorilor locali și integrare în lanțurile valorice</w:t>
            </w:r>
          </w:p>
          <w:p w14:paraId="2204031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0EF6A913" w14:textId="77777777" w:rsidR="00F3660E" w:rsidRPr="00502787" w:rsidRDefault="00F3660E" w:rsidP="00502787">
            <w:pPr>
              <w:jc w:val="both"/>
              <w:rPr>
                <w:rFonts w:ascii="Times New Roman" w:hAnsi="Times New Roman" w:cs="Times New Roman"/>
                <w:sz w:val="20"/>
                <w:szCs w:val="20"/>
                <w:lang w:val="ro-MD"/>
              </w:rPr>
            </w:pPr>
          </w:p>
          <w:p w14:paraId="27C1081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335FE0B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Propunerea privind consolidarea cadrului de supraveghere a pieței interne și îmbunătățirea protecției consumatorilor, deși bine intenționată, nu poate fi acceptată în contextul actual al agendei de reforme întrucît în primul rând, aceasta include obiective care sunt prea diverse și nu sunt suficient de focalizate pe acțiuni specifice. Astfel, propunerea sugerează un mix de măsuri care includ atât reglementarea standardelor de calitate și siguranță ale produselor, cât și implementarea de instrumente digitale pentru gestionarea petițiilor consumatorilor, fără a prezenta o corelare clară între acestea.</w:t>
            </w:r>
          </w:p>
          <w:p w14:paraId="003D03E9" w14:textId="77777777" w:rsidR="00F3660E" w:rsidRPr="00502787" w:rsidRDefault="00F3660E" w:rsidP="00502787">
            <w:pPr>
              <w:jc w:val="both"/>
              <w:rPr>
                <w:rFonts w:ascii="Times New Roman" w:hAnsi="Times New Roman" w:cs="Times New Roman"/>
                <w:sz w:val="20"/>
                <w:szCs w:val="20"/>
                <w:lang w:val="ro-MD"/>
              </w:rPr>
            </w:pPr>
          </w:p>
          <w:p w14:paraId="3FCBA7EF" w14:textId="77777777" w:rsidR="00F3660E" w:rsidRPr="00502787" w:rsidRDefault="00F3660E" w:rsidP="00502787">
            <w:pPr>
              <w:jc w:val="both"/>
              <w:rPr>
                <w:rFonts w:ascii="Times New Roman" w:hAnsi="Times New Roman" w:cs="Times New Roman"/>
                <w:sz w:val="20"/>
                <w:szCs w:val="20"/>
                <w:lang w:val="ro-MD"/>
              </w:rPr>
            </w:pPr>
          </w:p>
          <w:p w14:paraId="02F64E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3E35E6D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 contextul realităților economice globale contemporane, statele occidentale au creat mecanisme suplimentare de examinare a investițiilor în domeniile de importanță pentru securitatea statului. După aprobarea Regulamentului UE 452/2019, 23 de state membre ale Uniunii Europene au adoptat legislații similare, în timp ce proiectul noului Regulament deschis consultărilor de către Comisia Europeană prevede că, adoptarea legislațiilor cu privire la mecanismele de examinare a investițiilor de importanță pentru securitatea statului va deveni obligatorie pentru toate statele membre ale UE.</w:t>
            </w:r>
          </w:p>
          <w:p w14:paraId="34E5C0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Legea nr. 33/2025 modifică semnificativ Legea nr 174/2021, în vederea aigurării unui mecanism mai coerent de examinare a investițiilor și, totodată, stabilește plafonul de 1 milion de euro pentru unele domenii mai puțin critice pentru securitatea statului.  </w:t>
            </w:r>
          </w:p>
        </w:tc>
      </w:tr>
      <w:tr w:rsidR="0024020C" w:rsidRPr="00502787" w14:paraId="02391A6F" w14:textId="77777777">
        <w:trPr>
          <w:trHeight w:val="562"/>
        </w:trPr>
        <w:tc>
          <w:tcPr>
            <w:tcW w:w="556" w:type="dxa"/>
            <w:vMerge w:val="restart"/>
          </w:tcPr>
          <w:p w14:paraId="36680666"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4FCA5072"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F7CF3A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2: Conectivitate și infrastructură digitală</w:t>
            </w:r>
          </w:p>
          <w:p w14:paraId="179BA65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Recomandări conceptuale</w:t>
            </w:r>
          </w:p>
          <w:p w14:paraId="4948D6D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Procese</w:t>
            </w:r>
          </w:p>
          <w:p w14:paraId="0A67707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Sporirea numărului de proiecte mature: Elaborarea și actualizarea studiilor de fezabilitate pentru proiectele de investiții capitale și accelerarea procesului de examinare a acestora de către secretarii Grupului de lucru, pentru includerea acestor proiecte în Registrul Proiectelor de Investiții Capitale. Orice proiect de infrastructură trebuie sa fie însoțit de un studiu de fezabilitate și documentație de proiect de calitate, care demonstrează eficiența investiției. Astfel, atunci când apar mijloacele de finanțare, proiectele sunt suficient de mature pentru a fi inițiate și implementate cu succes. Datele din 30 decembrie 2024 din SI RPIC ilustrează că la 30 decembrie 2024 zi sunt incomplete și în proces de examinare proiecte de investiții capitale de nivel central, în valoare de peste 4 miliarde lei.</w:t>
            </w:r>
          </w:p>
          <w:p w14:paraId="3D51739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Abținerea de la programe care sfidează cadrul general și care amplifică riscul de clientelism și utilizare ineficientă a banilor publici (ex: Drumuri Bune sau Satul European). Reintroducerea posibilității de finanțare a drumurilor locale inclusiv prin cofinanțare din Fondului de dezvoltare regională și locală ceea ce ar permite valorificarea unei sinergii în reabilitarea drumurilor locale. (Satul European concurează cu proiectele identificate drept fiind prioritare de dezvoltare regională pentru că banii înin loc să fie direcționați canalizați către FNDRL pentru finanțarea acestor proiecte se duc pentru finanțarea proiectelor de eficiență contestabilă t în cadrul proiectelor de genul Satul European).</w:t>
            </w:r>
          </w:p>
          <w:p w14:paraId="78CB7DA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Evitarea promovării deciziilor care contravin documentelor de planificare strategică. Astfel, deciziile de naționalizare a companiilor de întreținere a drumurilor sau decizia de reabilitare a Aeroportului Mărculești trebuie să fie în concordanță și nu în contradicție cu documentele de planificare strategică.</w:t>
            </w:r>
          </w:p>
          <w:p w14:paraId="31A16DA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Asigurarea posibilității de licitare a contractelor multianuale de reabilitare și întreținere a infrastructurii. Modificarea cadrului de reglementare și achiziții pentru a permite contracte multianuale pentru obiectele majore de infrastructură finanțate din bugetul de stat.</w:t>
            </w:r>
          </w:p>
          <w:p w14:paraId="18F879C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Optimizarea formalităților vamale. Procesele de vămuire sunt o mare constrângere care limitează enorm conectivitatea cu piețele UE, competitivitatea mărfurilor autohtone, dar și prețurile suportate de consumatorii din Republica Moldova pentru produsele importate. În conformitate cu datele din 2023 privind indicele de performanță logistică LPI calculat de WB, performanța logistică a Republicii Moldova este afectată cel mai mult de performanța vamală și calitatea infrastructurii, categorii pentru care Moldova a acumulat un scor de 1.9 din maxim 5 posibile.</w:t>
            </w:r>
          </w:p>
          <w:p w14:paraId="0F65C162" w14:textId="77777777" w:rsidR="00F3660E" w:rsidRPr="00502787" w:rsidRDefault="00F3660E" w:rsidP="00502787">
            <w:pPr>
              <w:jc w:val="both"/>
              <w:rPr>
                <w:rFonts w:ascii="Times New Roman" w:hAnsi="Times New Roman" w:cs="Times New Roman"/>
                <w:sz w:val="20"/>
                <w:szCs w:val="20"/>
                <w:lang w:val="ro-MD"/>
              </w:rPr>
            </w:pPr>
          </w:p>
          <w:p w14:paraId="4DB89582" w14:textId="77777777" w:rsidR="00F3660E" w:rsidRPr="00502787" w:rsidRDefault="00F3660E" w:rsidP="00502787">
            <w:pPr>
              <w:jc w:val="both"/>
              <w:rPr>
                <w:rFonts w:ascii="Times New Roman" w:eastAsiaTheme="minorEastAsia" w:hAnsi="Times New Roman" w:cs="Times New Roman"/>
                <w:sz w:val="20"/>
                <w:szCs w:val="20"/>
                <w:lang w:val="ro-MD"/>
              </w:rPr>
            </w:pPr>
          </w:p>
          <w:p w14:paraId="3D4C6BF3" w14:textId="77777777" w:rsidR="00F3660E" w:rsidRPr="00502787" w:rsidRDefault="00F3660E" w:rsidP="00502787">
            <w:pPr>
              <w:jc w:val="both"/>
              <w:rPr>
                <w:rFonts w:ascii="Times New Roman" w:eastAsiaTheme="minorEastAsia" w:hAnsi="Times New Roman" w:cs="Times New Roman"/>
                <w:sz w:val="20"/>
                <w:szCs w:val="20"/>
                <w:lang w:val="ro-MD"/>
              </w:rPr>
            </w:pPr>
          </w:p>
          <w:p w14:paraId="37D62D4F" w14:textId="77777777" w:rsidR="00F3660E" w:rsidRPr="00502787" w:rsidRDefault="00F3660E" w:rsidP="00502787">
            <w:pPr>
              <w:jc w:val="both"/>
              <w:rPr>
                <w:rFonts w:ascii="Times New Roman" w:eastAsiaTheme="minorEastAsia" w:hAnsi="Times New Roman" w:cs="Times New Roman"/>
                <w:sz w:val="20"/>
                <w:szCs w:val="20"/>
                <w:lang w:val="ro-MD"/>
              </w:rPr>
            </w:pPr>
          </w:p>
          <w:p w14:paraId="2E94F5FC" w14:textId="77777777" w:rsidR="00F3660E" w:rsidRPr="00502787" w:rsidRDefault="00F3660E" w:rsidP="00502787">
            <w:pPr>
              <w:jc w:val="both"/>
              <w:rPr>
                <w:rFonts w:ascii="Times New Roman" w:eastAsiaTheme="minorEastAsia" w:hAnsi="Times New Roman" w:cs="Times New Roman"/>
                <w:sz w:val="20"/>
                <w:szCs w:val="20"/>
                <w:lang w:val="ro-MD"/>
              </w:rPr>
            </w:pPr>
          </w:p>
          <w:p w14:paraId="23AD8690" w14:textId="77777777" w:rsidR="00F3660E" w:rsidRPr="00502787" w:rsidRDefault="00F3660E" w:rsidP="00502787">
            <w:pPr>
              <w:jc w:val="both"/>
              <w:rPr>
                <w:rFonts w:ascii="Times New Roman" w:eastAsiaTheme="minorEastAsia" w:hAnsi="Times New Roman" w:cs="Times New Roman"/>
                <w:sz w:val="20"/>
                <w:szCs w:val="20"/>
                <w:lang w:val="ro-MD"/>
              </w:rPr>
            </w:pPr>
          </w:p>
          <w:p w14:paraId="530FF6C3" w14:textId="77777777" w:rsidR="00F3660E" w:rsidRPr="00502787" w:rsidRDefault="00F3660E" w:rsidP="00502787">
            <w:pPr>
              <w:jc w:val="both"/>
              <w:rPr>
                <w:rFonts w:ascii="Times New Roman" w:eastAsiaTheme="minorEastAsia" w:hAnsi="Times New Roman" w:cs="Times New Roman"/>
                <w:sz w:val="20"/>
                <w:szCs w:val="20"/>
                <w:lang w:val="ro-MD"/>
              </w:rPr>
            </w:pPr>
          </w:p>
          <w:p w14:paraId="267A7660" w14:textId="77777777" w:rsidR="00F3660E" w:rsidRPr="00502787" w:rsidRDefault="00F3660E" w:rsidP="00502787">
            <w:pPr>
              <w:jc w:val="both"/>
              <w:rPr>
                <w:rFonts w:ascii="Times New Roman" w:eastAsiaTheme="minorEastAsia" w:hAnsi="Times New Roman" w:cs="Times New Roman"/>
                <w:sz w:val="20"/>
                <w:szCs w:val="20"/>
                <w:lang w:val="ro-MD"/>
              </w:rPr>
            </w:pPr>
          </w:p>
          <w:p w14:paraId="431C0B0E" w14:textId="77777777" w:rsidR="00F3660E" w:rsidRPr="00502787" w:rsidRDefault="00F3660E" w:rsidP="00502787">
            <w:pPr>
              <w:jc w:val="both"/>
              <w:rPr>
                <w:rFonts w:ascii="Times New Roman" w:eastAsiaTheme="minorEastAsia" w:hAnsi="Times New Roman" w:cs="Times New Roman"/>
                <w:sz w:val="20"/>
                <w:szCs w:val="20"/>
                <w:lang w:val="ro-MD"/>
              </w:rPr>
            </w:pPr>
          </w:p>
          <w:p w14:paraId="25E0EB2F" w14:textId="77777777" w:rsidR="00F3660E" w:rsidRPr="00502787" w:rsidRDefault="00F3660E" w:rsidP="00502787">
            <w:pPr>
              <w:jc w:val="both"/>
              <w:rPr>
                <w:rFonts w:ascii="Times New Roman" w:eastAsiaTheme="minorEastAsia" w:hAnsi="Times New Roman" w:cs="Times New Roman"/>
                <w:sz w:val="20"/>
                <w:szCs w:val="20"/>
                <w:lang w:val="ro-MD"/>
              </w:rPr>
            </w:pPr>
          </w:p>
          <w:p w14:paraId="40AB2E69" w14:textId="77777777" w:rsidR="00F3660E" w:rsidRPr="00502787" w:rsidRDefault="00F3660E" w:rsidP="00502787">
            <w:pPr>
              <w:jc w:val="both"/>
              <w:rPr>
                <w:rFonts w:ascii="Times New Roman" w:eastAsiaTheme="minorEastAsia" w:hAnsi="Times New Roman" w:cs="Times New Roman"/>
                <w:sz w:val="20"/>
                <w:szCs w:val="20"/>
                <w:lang w:val="ro-MD"/>
              </w:rPr>
            </w:pPr>
          </w:p>
          <w:p w14:paraId="02203ECD" w14:textId="77777777" w:rsidR="00F3660E" w:rsidRPr="00502787" w:rsidRDefault="00F3660E" w:rsidP="00502787">
            <w:pPr>
              <w:jc w:val="both"/>
              <w:rPr>
                <w:rFonts w:ascii="Times New Roman" w:eastAsiaTheme="minorEastAsia" w:hAnsi="Times New Roman" w:cs="Times New Roman"/>
                <w:sz w:val="20"/>
                <w:szCs w:val="20"/>
                <w:lang w:val="ro-MD"/>
              </w:rPr>
            </w:pPr>
          </w:p>
          <w:p w14:paraId="2A15EAFB" w14:textId="77777777" w:rsidR="00F3660E" w:rsidRPr="00502787" w:rsidRDefault="00F3660E" w:rsidP="00502787">
            <w:pPr>
              <w:jc w:val="both"/>
              <w:rPr>
                <w:rFonts w:ascii="Times New Roman" w:eastAsiaTheme="minorEastAsia" w:hAnsi="Times New Roman" w:cs="Times New Roman"/>
                <w:sz w:val="20"/>
                <w:szCs w:val="20"/>
                <w:lang w:val="ro-MD"/>
              </w:rPr>
            </w:pPr>
          </w:p>
          <w:p w14:paraId="25E474FB" w14:textId="77777777" w:rsidR="00F3660E" w:rsidRPr="00502787" w:rsidRDefault="00F3660E" w:rsidP="00502787">
            <w:pPr>
              <w:jc w:val="both"/>
              <w:rPr>
                <w:rFonts w:ascii="Times New Roman" w:eastAsiaTheme="minorEastAsia" w:hAnsi="Times New Roman" w:cs="Times New Roman"/>
                <w:sz w:val="20"/>
                <w:szCs w:val="20"/>
                <w:lang w:val="ro-MD"/>
              </w:rPr>
            </w:pPr>
          </w:p>
          <w:p w14:paraId="48688AD7" w14:textId="77777777" w:rsidR="00F3660E" w:rsidRPr="00502787" w:rsidRDefault="00F3660E" w:rsidP="00502787">
            <w:pPr>
              <w:jc w:val="both"/>
              <w:rPr>
                <w:rFonts w:ascii="Times New Roman" w:eastAsiaTheme="minorEastAsia" w:hAnsi="Times New Roman" w:cs="Times New Roman"/>
                <w:sz w:val="20"/>
                <w:szCs w:val="20"/>
                <w:lang w:val="ro-MD"/>
              </w:rPr>
            </w:pPr>
          </w:p>
          <w:p w14:paraId="6DA322C9" w14:textId="77777777" w:rsidR="00F3660E" w:rsidRPr="00502787" w:rsidRDefault="00F3660E" w:rsidP="00502787">
            <w:pPr>
              <w:jc w:val="both"/>
              <w:rPr>
                <w:rFonts w:ascii="Times New Roman" w:eastAsiaTheme="minorEastAsia" w:hAnsi="Times New Roman" w:cs="Times New Roman"/>
                <w:sz w:val="20"/>
                <w:szCs w:val="20"/>
                <w:lang w:val="ro-MD"/>
              </w:rPr>
            </w:pPr>
          </w:p>
          <w:p w14:paraId="267A5A34" w14:textId="77777777" w:rsidR="00F3660E" w:rsidRPr="00502787" w:rsidRDefault="00F3660E" w:rsidP="00502787">
            <w:pPr>
              <w:jc w:val="both"/>
              <w:rPr>
                <w:rFonts w:ascii="Times New Roman" w:eastAsiaTheme="minorEastAsia" w:hAnsi="Times New Roman" w:cs="Times New Roman"/>
                <w:sz w:val="20"/>
                <w:szCs w:val="20"/>
                <w:lang w:val="ro-MD"/>
              </w:rPr>
            </w:pPr>
          </w:p>
          <w:p w14:paraId="3EE346FF" w14:textId="77777777" w:rsidR="00F3660E" w:rsidRPr="00502787" w:rsidRDefault="00F3660E" w:rsidP="00502787">
            <w:pPr>
              <w:jc w:val="both"/>
              <w:rPr>
                <w:rFonts w:ascii="Times New Roman" w:eastAsiaTheme="minorEastAsia" w:hAnsi="Times New Roman" w:cs="Times New Roman"/>
                <w:sz w:val="20"/>
                <w:szCs w:val="20"/>
                <w:lang w:val="ro-MD"/>
              </w:rPr>
            </w:pPr>
          </w:p>
          <w:p w14:paraId="302770C4" w14:textId="77777777" w:rsidR="00F3660E" w:rsidRPr="00502787" w:rsidRDefault="00F3660E" w:rsidP="00502787">
            <w:pPr>
              <w:jc w:val="both"/>
              <w:rPr>
                <w:rFonts w:ascii="Times New Roman" w:eastAsiaTheme="minorEastAsia" w:hAnsi="Times New Roman" w:cs="Times New Roman"/>
                <w:sz w:val="20"/>
                <w:szCs w:val="20"/>
                <w:lang w:val="ro-MD"/>
              </w:rPr>
            </w:pPr>
          </w:p>
          <w:p w14:paraId="741DD7A8" w14:textId="77777777" w:rsidR="00F3660E" w:rsidRPr="00502787" w:rsidRDefault="00F3660E" w:rsidP="00502787">
            <w:pPr>
              <w:jc w:val="both"/>
              <w:rPr>
                <w:rFonts w:ascii="Times New Roman" w:eastAsiaTheme="minorEastAsia" w:hAnsi="Times New Roman" w:cs="Times New Roman"/>
                <w:sz w:val="20"/>
                <w:szCs w:val="20"/>
                <w:lang w:val="ro-MD"/>
              </w:rPr>
            </w:pPr>
          </w:p>
          <w:p w14:paraId="37E73AAC" w14:textId="77777777" w:rsidR="00F3660E" w:rsidRPr="00502787" w:rsidRDefault="00F3660E" w:rsidP="00502787">
            <w:pPr>
              <w:jc w:val="both"/>
              <w:rPr>
                <w:rFonts w:ascii="Times New Roman" w:eastAsiaTheme="minorEastAsia" w:hAnsi="Times New Roman" w:cs="Times New Roman"/>
                <w:sz w:val="20"/>
                <w:szCs w:val="20"/>
                <w:lang w:val="ro-MD"/>
              </w:rPr>
            </w:pPr>
          </w:p>
          <w:p w14:paraId="3CC2AF07" w14:textId="77777777" w:rsidR="00F3660E" w:rsidRPr="00502787" w:rsidRDefault="00F3660E" w:rsidP="00502787">
            <w:pPr>
              <w:jc w:val="both"/>
              <w:rPr>
                <w:rFonts w:ascii="Times New Roman" w:eastAsiaTheme="minorEastAsia" w:hAnsi="Times New Roman" w:cs="Times New Roman"/>
                <w:sz w:val="20"/>
                <w:szCs w:val="20"/>
                <w:lang w:val="ro-MD"/>
              </w:rPr>
            </w:pPr>
          </w:p>
          <w:p w14:paraId="13C17184" w14:textId="77777777" w:rsidR="00F3660E" w:rsidRPr="00502787" w:rsidRDefault="00F3660E" w:rsidP="00502787">
            <w:pPr>
              <w:jc w:val="both"/>
              <w:rPr>
                <w:rFonts w:ascii="Times New Roman" w:eastAsiaTheme="minorEastAsia" w:hAnsi="Times New Roman" w:cs="Times New Roman"/>
                <w:sz w:val="20"/>
                <w:szCs w:val="20"/>
                <w:lang w:val="ro-MD"/>
              </w:rPr>
            </w:pPr>
          </w:p>
          <w:p w14:paraId="7F2CA3D9" w14:textId="77777777" w:rsidR="00F3660E" w:rsidRPr="00502787" w:rsidRDefault="00F3660E" w:rsidP="00502787">
            <w:pPr>
              <w:jc w:val="both"/>
              <w:rPr>
                <w:rFonts w:ascii="Times New Roman" w:eastAsiaTheme="minorEastAsia" w:hAnsi="Times New Roman" w:cs="Times New Roman"/>
                <w:sz w:val="20"/>
                <w:szCs w:val="20"/>
                <w:lang w:val="ro-MD"/>
              </w:rPr>
            </w:pPr>
          </w:p>
          <w:p w14:paraId="6E96C64C" w14:textId="77777777" w:rsidR="00F3660E" w:rsidRPr="00502787" w:rsidRDefault="00F3660E" w:rsidP="00502787">
            <w:pPr>
              <w:jc w:val="both"/>
              <w:rPr>
                <w:rFonts w:ascii="Times New Roman" w:eastAsiaTheme="minorEastAsia" w:hAnsi="Times New Roman" w:cs="Times New Roman"/>
                <w:sz w:val="20"/>
                <w:szCs w:val="20"/>
                <w:lang w:val="ro-MD"/>
              </w:rPr>
            </w:pPr>
          </w:p>
          <w:p w14:paraId="2942453A" w14:textId="77777777" w:rsidR="00F3660E" w:rsidRPr="00502787" w:rsidRDefault="00F3660E" w:rsidP="00502787">
            <w:pPr>
              <w:jc w:val="both"/>
              <w:rPr>
                <w:rFonts w:ascii="Times New Roman" w:eastAsiaTheme="minorEastAsia" w:hAnsi="Times New Roman" w:cs="Times New Roman"/>
                <w:sz w:val="20"/>
                <w:szCs w:val="20"/>
                <w:lang w:val="ro-MD"/>
              </w:rPr>
            </w:pPr>
          </w:p>
          <w:p w14:paraId="6E668009" w14:textId="77777777" w:rsidR="00F3660E" w:rsidRPr="00502787" w:rsidRDefault="00480C4A" w:rsidP="00502787">
            <w:pPr>
              <w:jc w:val="both"/>
              <w:rPr>
                <w:rFonts w:ascii="Times New Roman" w:eastAsiaTheme="minorEastAsia" w:hAnsi="Times New Roman" w:cs="Times New Roman"/>
                <w:sz w:val="20"/>
                <w:szCs w:val="20"/>
                <w:lang w:val="ro-MD"/>
              </w:rPr>
            </w:pPr>
            <w:r w:rsidRPr="00502787">
              <w:rPr>
                <w:rFonts w:ascii="Times New Roman" w:eastAsiaTheme="minorEastAsia" w:hAnsi="Times New Roman" w:cs="Times New Roman"/>
                <w:sz w:val="20"/>
                <w:szCs w:val="20"/>
                <w:lang w:val="ro-MD"/>
              </w:rPr>
              <w:t>Cadrul de Guvernanță</w:t>
            </w:r>
          </w:p>
          <w:p w14:paraId="6D4ABB6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Depolitizarea Consiliului fondului rutier pentru asigurarea promovării deciziilor fundamentate pe date și pe criterii de eficiență și asigurarea unui secretariat permanent al Consiliului fondului rutier.</w:t>
            </w:r>
          </w:p>
          <w:p w14:paraId="67051CA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Creșterea profesionalismului unităților de implementare a proiectelor pentru a accelera tempoul de reabilitare a infrastructurii inclusiv de transport. Preluarea bunelor practici între unitățile de implementare a proiectelor de infrastructură.</w:t>
            </w:r>
          </w:p>
          <w:p w14:paraId="4A28838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Îmbunătățirea guvernanței în sectorul feroviar prin implementarea contractelor de serviciu public pentru transportul feroviar de pasageri și finanțarea întreținerii infrastructurii feroviare din bugetul de stat după modelul fondului rutier. Eventual, administrarea întreținerii drumului de fier prin intermediul Consiliului fondului rutier.</w:t>
            </w:r>
          </w:p>
          <w:p w14:paraId="0F4B154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Asigurarea predictibilității în finanțarea proiectelor de infrastructură prin respectarea programelor de implementare a strategiilor sectoriale și a cadrului de planificare pe termen mediu fapt ce va permite un cadru singur de planificare a investițiilor private în sector.</w:t>
            </w:r>
          </w:p>
          <w:p w14:paraId="4E7D38D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Atragerea capitalului privat prin modernizarea cadrului de reglementare și asigurarea transparenței și profesionalismului în inițierea și implementarea contractelor de PPP și concesiune.</w:t>
            </w:r>
          </w:p>
          <w:p w14:paraId="34F9577C" w14:textId="77777777" w:rsidR="00F3660E" w:rsidRPr="00502787" w:rsidRDefault="00F3660E" w:rsidP="00502787">
            <w:pPr>
              <w:jc w:val="both"/>
              <w:rPr>
                <w:rFonts w:ascii="Times New Roman" w:hAnsi="Times New Roman" w:cs="Times New Roman"/>
                <w:sz w:val="20"/>
                <w:szCs w:val="20"/>
                <w:lang w:val="ro-MD"/>
              </w:rPr>
            </w:pPr>
          </w:p>
          <w:p w14:paraId="5C9DF44E" w14:textId="77777777" w:rsidR="00F3660E" w:rsidRPr="00502787" w:rsidRDefault="00F3660E" w:rsidP="00502787">
            <w:pPr>
              <w:jc w:val="both"/>
              <w:rPr>
                <w:rFonts w:ascii="Times New Roman" w:hAnsi="Times New Roman" w:cs="Times New Roman"/>
                <w:sz w:val="20"/>
                <w:szCs w:val="20"/>
                <w:lang w:val="ro-MD"/>
              </w:rPr>
            </w:pPr>
          </w:p>
          <w:p w14:paraId="32B24062" w14:textId="77777777" w:rsidR="00F3660E" w:rsidRPr="00502787" w:rsidRDefault="00F3660E" w:rsidP="00502787">
            <w:pPr>
              <w:jc w:val="both"/>
              <w:rPr>
                <w:rFonts w:ascii="Times New Roman" w:hAnsi="Times New Roman" w:cs="Times New Roman"/>
                <w:sz w:val="20"/>
                <w:szCs w:val="20"/>
                <w:lang w:val="ro-MD"/>
              </w:rPr>
            </w:pPr>
          </w:p>
          <w:p w14:paraId="7B5CC697" w14:textId="77777777" w:rsidR="00F3660E" w:rsidRPr="00502787" w:rsidRDefault="00F3660E" w:rsidP="00502787">
            <w:pPr>
              <w:jc w:val="both"/>
              <w:rPr>
                <w:rFonts w:ascii="Times New Roman" w:hAnsi="Times New Roman" w:cs="Times New Roman"/>
                <w:sz w:val="20"/>
                <w:szCs w:val="20"/>
                <w:lang w:val="ro-MD"/>
              </w:rPr>
            </w:pPr>
          </w:p>
          <w:p w14:paraId="313B8AA3" w14:textId="77777777" w:rsidR="00F3660E" w:rsidRPr="00502787" w:rsidRDefault="00F3660E" w:rsidP="00502787">
            <w:pPr>
              <w:jc w:val="both"/>
              <w:rPr>
                <w:rFonts w:ascii="Times New Roman" w:hAnsi="Times New Roman" w:cs="Times New Roman"/>
                <w:sz w:val="20"/>
                <w:szCs w:val="20"/>
                <w:lang w:val="ro-MD"/>
              </w:rPr>
            </w:pPr>
          </w:p>
          <w:p w14:paraId="54426BC0" w14:textId="77777777" w:rsidR="00F3660E" w:rsidRPr="00502787" w:rsidRDefault="00F3660E" w:rsidP="00502787">
            <w:pPr>
              <w:jc w:val="both"/>
              <w:rPr>
                <w:rFonts w:ascii="Times New Roman" w:hAnsi="Times New Roman" w:cs="Times New Roman"/>
                <w:sz w:val="20"/>
                <w:szCs w:val="20"/>
                <w:lang w:val="ro-MD"/>
              </w:rPr>
            </w:pPr>
          </w:p>
          <w:p w14:paraId="132C8B1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Piață</w:t>
            </w:r>
          </w:p>
          <w:p w14:paraId="2EE142E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Asigurarea volumelor de lucru pentru antreprenorii locali pentru a-i califica în vederea participării la licitațiile pentru reabilitarea drumurilor finanțate din mijloace externe. Finanțarea adecvată a fondului rutier, va permite licitarea din fond a unor volume mai importante de lucrări de reabilitare, care va facilita nu doar un ritm sporit de reabilitare a drumurilor, dar va permite antreprenorilor autohtoni să capete experiență similară pentru a se putea califica să participe la reabilitarea drumurilor din contracte cu finanțare externă.</w:t>
            </w:r>
          </w:p>
          <w:p w14:paraId="12D1802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Crearea și consolidarea pieței de servicii de întreținere curentă a drumurilor prin finanțarea adecvată a sectorului de întreținere de rutină, privatizarea întreprinderilor de întreținere și implementarea contractelor de întreținere multianuale, bazate pe performanță.</w:t>
            </w:r>
          </w:p>
          <w:p w14:paraId="0A2EFE6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Liberalizarea transportului de marfă și pasageri între Moldova și UE. Iar, pe termen scurt, cel puțin dublarea numărului de autorizații multilaterale de tip CEMT pentru a spori accesul și competitivitatea mărfurilor autohtone pe piața UE.</w:t>
            </w:r>
          </w:p>
          <w:p w14:paraId="47E2E79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Asigurarea intermodalității  dintre transportul feroviar și cel rutier, inclusiv prin participarea capitalului privat în construcția și operarea centrelor multi-modale și celor de transbordare precum și crearea a gărilor  mixte.</w:t>
            </w:r>
          </w:p>
          <w:p w14:paraId="66DBB02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Implementarea unei politici tarifare și de subvenționare care ar facilita migrarea mărfurilor vagonabile de pe rutier pe feroviar.</w:t>
            </w:r>
          </w:p>
          <w:p w14:paraId="15026EC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Reluarea curățirii șenalului navigabil pentru restabilirea navigabilității pe râurile Nistru și Prut și pentru asigurarea respectării de către Republica Moldova a Acordului European cu privire la principalele căi navigabile interne de importanță internațională (cel puțin pentru 240 de zile pe an).</w:t>
            </w:r>
          </w:p>
          <w:p w14:paraId="1960F6F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Dezvoltarea capacităților portuare ale Portului de Pasageri și Mărfuri Giurgiulești administrat de Întreprinderea de Stat Portul Fluvial Ungheni inclusiv prin atragerea investițiilor private prin PPP sau concesiune.</w:t>
            </w:r>
          </w:p>
          <w:p w14:paraId="37EEB1A1" w14:textId="74C3A10C"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Actualizarea și implementarea Master Planului de dezvoltare a aeroportului Chișinău. Profitul companiei necesită a fi direcționat către implementarea planului de investiții pentru dezvoltarea aeroportului internațional Chișinău. Conform planului anterior (2010), la atingerea unui număr de 2.6 mil pasageri trebuie începută etapa 2 a master Planului – cea de construcție a unui nou terminal. La 3.2 mil pasageri trebuie să trecem la etapa 3 (extinderea terminalului existent și construcția unei piste noiă nouă). La zi, avem 4 mil. pasageri (2024), deci e absolut necesar să actualizăm planul și să avansăm cu modernizarea RMO. Fiecare pasager a contribuit cu aprox câte 80 lei la profitul întreprinderii, dar acesta nu este investit în dezvoltarea întreprinderii și creșterea calității serviciilor prestate de aeroport.</w:t>
            </w:r>
          </w:p>
          <w:p w14:paraId="5B212FC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Sporirea măsurilor de eficiență energetică și încurajarea tranziției la energia regenerabilă, precum și creșterea capacităților de interconectare cu alte piețe energetice pentru diminuarea costurilor de operare suportate de mediul de afaceri </w:t>
            </w:r>
            <w:r w:rsidRPr="00502787">
              <w:rPr>
                <w:rFonts w:ascii="Times New Roman" w:eastAsiaTheme="minorEastAsia" w:hAnsi="Times New Roman" w:cs="Times New Roman"/>
                <w:sz w:val="20"/>
                <w:szCs w:val="20"/>
                <w:lang w:val="ro-MD"/>
              </w:rPr>
              <w:lastRenderedPageBreak/>
              <w:t>și creșterea competitivității produselor și serviciilor autohtone și, în consecință, creșterea valorii adăugate</w:t>
            </w:r>
          </w:p>
        </w:tc>
        <w:tc>
          <w:tcPr>
            <w:tcW w:w="4819" w:type="dxa"/>
            <w:vMerge w:val="restart"/>
          </w:tcPr>
          <w:p w14:paraId="23339BCC" w14:textId="77777777" w:rsidR="00F3660E" w:rsidRPr="00502787" w:rsidRDefault="00F3660E" w:rsidP="00502787">
            <w:pPr>
              <w:jc w:val="both"/>
              <w:rPr>
                <w:rFonts w:ascii="Times New Roman" w:hAnsi="Times New Roman" w:cs="Times New Roman"/>
                <w:sz w:val="20"/>
                <w:szCs w:val="20"/>
                <w:lang w:val="ro-MD"/>
              </w:rPr>
            </w:pPr>
          </w:p>
          <w:p w14:paraId="0DECB029" w14:textId="77777777" w:rsidR="00F3660E" w:rsidRPr="00502787" w:rsidRDefault="00F3660E" w:rsidP="00502787">
            <w:pPr>
              <w:jc w:val="both"/>
              <w:rPr>
                <w:rFonts w:ascii="Times New Roman" w:hAnsi="Times New Roman" w:cs="Times New Roman"/>
                <w:sz w:val="20"/>
                <w:szCs w:val="20"/>
                <w:lang w:val="ro-MD"/>
              </w:rPr>
            </w:pPr>
          </w:p>
          <w:p w14:paraId="4C2EE092" w14:textId="77777777" w:rsidR="00F3660E" w:rsidRPr="00502787" w:rsidRDefault="00F3660E" w:rsidP="00502787">
            <w:pPr>
              <w:jc w:val="both"/>
              <w:rPr>
                <w:rFonts w:ascii="Times New Roman" w:hAnsi="Times New Roman" w:cs="Times New Roman"/>
                <w:sz w:val="20"/>
                <w:szCs w:val="20"/>
                <w:lang w:val="ro-MD"/>
              </w:rPr>
            </w:pPr>
          </w:p>
          <w:p w14:paraId="3D6A2C6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Cancelaria de stat</w:t>
            </w:r>
          </w:p>
          <w:p w14:paraId="2D369D26" w14:textId="77777777" w:rsidR="00F3660E" w:rsidRPr="00502787" w:rsidRDefault="00F3660E" w:rsidP="00502787">
            <w:pPr>
              <w:jc w:val="both"/>
              <w:rPr>
                <w:rFonts w:ascii="Times New Roman" w:hAnsi="Times New Roman" w:cs="Times New Roman"/>
                <w:sz w:val="20"/>
                <w:szCs w:val="20"/>
                <w:lang w:val="ro-MD"/>
              </w:rPr>
            </w:pPr>
          </w:p>
          <w:p w14:paraId="23378EF4" w14:textId="77777777" w:rsidR="00F3660E" w:rsidRPr="00502787" w:rsidRDefault="00F3660E" w:rsidP="00502787">
            <w:pPr>
              <w:jc w:val="both"/>
              <w:rPr>
                <w:rFonts w:ascii="Times New Roman" w:hAnsi="Times New Roman" w:cs="Times New Roman"/>
                <w:sz w:val="20"/>
                <w:szCs w:val="20"/>
                <w:lang w:val="ro-MD"/>
              </w:rPr>
            </w:pPr>
          </w:p>
          <w:p w14:paraId="2573D972" w14:textId="77777777" w:rsidR="00F3660E" w:rsidRPr="00502787" w:rsidRDefault="00F3660E" w:rsidP="00502787">
            <w:pPr>
              <w:jc w:val="both"/>
              <w:rPr>
                <w:rFonts w:ascii="Times New Roman" w:hAnsi="Times New Roman" w:cs="Times New Roman"/>
                <w:sz w:val="20"/>
                <w:szCs w:val="20"/>
                <w:lang w:val="ro-MD"/>
              </w:rPr>
            </w:pPr>
          </w:p>
          <w:p w14:paraId="6869A3BB" w14:textId="77777777" w:rsidR="00F3660E" w:rsidRPr="00502787" w:rsidRDefault="00F3660E" w:rsidP="00502787">
            <w:pPr>
              <w:jc w:val="both"/>
              <w:rPr>
                <w:rFonts w:ascii="Times New Roman" w:hAnsi="Times New Roman" w:cs="Times New Roman"/>
                <w:sz w:val="20"/>
                <w:szCs w:val="20"/>
                <w:lang w:val="ro-MD"/>
              </w:rPr>
            </w:pPr>
          </w:p>
          <w:p w14:paraId="37BB3B6A" w14:textId="77777777" w:rsidR="00F3660E" w:rsidRPr="00502787" w:rsidRDefault="00F3660E" w:rsidP="00502787">
            <w:pPr>
              <w:jc w:val="both"/>
              <w:rPr>
                <w:rFonts w:ascii="Times New Roman" w:hAnsi="Times New Roman" w:cs="Times New Roman"/>
                <w:sz w:val="20"/>
                <w:szCs w:val="20"/>
                <w:lang w:val="ro-MD"/>
              </w:rPr>
            </w:pPr>
          </w:p>
          <w:p w14:paraId="24E31C5D" w14:textId="77777777" w:rsidR="00F3660E" w:rsidRPr="00502787" w:rsidRDefault="00F3660E" w:rsidP="00502787">
            <w:pPr>
              <w:jc w:val="both"/>
              <w:rPr>
                <w:rFonts w:ascii="Times New Roman" w:hAnsi="Times New Roman" w:cs="Times New Roman"/>
                <w:sz w:val="20"/>
                <w:szCs w:val="20"/>
                <w:lang w:val="ro-MD"/>
              </w:rPr>
            </w:pPr>
          </w:p>
          <w:p w14:paraId="37C3E0DF" w14:textId="77777777" w:rsidR="00F3660E" w:rsidRPr="00502787" w:rsidRDefault="00F3660E" w:rsidP="00502787">
            <w:pPr>
              <w:jc w:val="both"/>
              <w:rPr>
                <w:rFonts w:ascii="Times New Roman" w:hAnsi="Times New Roman" w:cs="Times New Roman"/>
                <w:sz w:val="20"/>
                <w:szCs w:val="20"/>
                <w:lang w:val="ro-MD"/>
              </w:rPr>
            </w:pPr>
          </w:p>
          <w:p w14:paraId="7096909E" w14:textId="77777777" w:rsidR="00F3660E" w:rsidRPr="00502787" w:rsidRDefault="00F3660E" w:rsidP="00502787">
            <w:pPr>
              <w:jc w:val="both"/>
              <w:rPr>
                <w:rFonts w:ascii="Times New Roman" w:hAnsi="Times New Roman" w:cs="Times New Roman"/>
                <w:sz w:val="20"/>
                <w:szCs w:val="20"/>
                <w:lang w:val="ro-MD"/>
              </w:rPr>
            </w:pPr>
          </w:p>
          <w:p w14:paraId="5B36F3C9" w14:textId="77777777" w:rsidR="00F3660E" w:rsidRPr="00502787" w:rsidRDefault="00F3660E" w:rsidP="00502787">
            <w:pPr>
              <w:jc w:val="both"/>
              <w:rPr>
                <w:rFonts w:ascii="Times New Roman" w:hAnsi="Times New Roman" w:cs="Times New Roman"/>
                <w:sz w:val="20"/>
                <w:szCs w:val="20"/>
                <w:lang w:val="ro-MD"/>
              </w:rPr>
            </w:pPr>
          </w:p>
          <w:p w14:paraId="66333F8F" w14:textId="77777777" w:rsidR="00F3660E" w:rsidRPr="00502787" w:rsidRDefault="00F3660E" w:rsidP="00502787">
            <w:pPr>
              <w:jc w:val="both"/>
              <w:rPr>
                <w:rFonts w:ascii="Times New Roman" w:hAnsi="Times New Roman" w:cs="Times New Roman"/>
                <w:sz w:val="20"/>
                <w:szCs w:val="20"/>
                <w:lang w:val="ro-MD"/>
              </w:rPr>
            </w:pPr>
          </w:p>
          <w:p w14:paraId="571A2D1C" w14:textId="77777777" w:rsidR="00F3660E" w:rsidRPr="00502787" w:rsidRDefault="00F3660E" w:rsidP="00502787">
            <w:pPr>
              <w:jc w:val="both"/>
              <w:rPr>
                <w:rFonts w:ascii="Times New Roman" w:hAnsi="Times New Roman" w:cs="Times New Roman"/>
                <w:sz w:val="20"/>
                <w:szCs w:val="20"/>
                <w:lang w:val="ro-MD"/>
              </w:rPr>
            </w:pPr>
          </w:p>
          <w:p w14:paraId="2241750C" w14:textId="77777777" w:rsidR="00F3660E" w:rsidRPr="00502787" w:rsidRDefault="00F3660E" w:rsidP="00502787">
            <w:pPr>
              <w:jc w:val="both"/>
              <w:rPr>
                <w:rFonts w:ascii="Times New Roman" w:hAnsi="Times New Roman" w:cs="Times New Roman"/>
                <w:sz w:val="20"/>
                <w:szCs w:val="20"/>
                <w:lang w:val="ro-MD"/>
              </w:rPr>
            </w:pPr>
          </w:p>
          <w:p w14:paraId="44341A16" w14:textId="77777777" w:rsidR="00F3660E" w:rsidRPr="00502787" w:rsidRDefault="00F3660E" w:rsidP="00502787">
            <w:pPr>
              <w:jc w:val="both"/>
              <w:rPr>
                <w:rFonts w:ascii="Times New Roman" w:hAnsi="Times New Roman" w:cs="Times New Roman"/>
                <w:sz w:val="20"/>
                <w:szCs w:val="20"/>
                <w:lang w:val="ro-MD"/>
              </w:rPr>
            </w:pPr>
          </w:p>
          <w:p w14:paraId="1DD997D5" w14:textId="77777777" w:rsidR="00F3660E" w:rsidRPr="00502787" w:rsidRDefault="00F3660E" w:rsidP="00502787">
            <w:pPr>
              <w:jc w:val="both"/>
              <w:rPr>
                <w:rFonts w:ascii="Times New Roman" w:hAnsi="Times New Roman" w:cs="Times New Roman"/>
                <w:sz w:val="20"/>
                <w:szCs w:val="20"/>
                <w:lang w:val="ro-MD"/>
              </w:rPr>
            </w:pPr>
          </w:p>
          <w:p w14:paraId="3FA2980D" w14:textId="77777777" w:rsidR="00F3660E" w:rsidRPr="00502787" w:rsidRDefault="00F3660E" w:rsidP="00502787">
            <w:pPr>
              <w:jc w:val="both"/>
              <w:rPr>
                <w:rFonts w:ascii="Times New Roman" w:hAnsi="Times New Roman" w:cs="Times New Roman"/>
                <w:sz w:val="20"/>
                <w:szCs w:val="20"/>
                <w:lang w:val="ro-MD"/>
              </w:rPr>
            </w:pPr>
          </w:p>
          <w:p w14:paraId="5BB0041C" w14:textId="77777777" w:rsidR="00F3660E" w:rsidRPr="00502787" w:rsidRDefault="00F3660E" w:rsidP="00502787">
            <w:pPr>
              <w:jc w:val="both"/>
              <w:rPr>
                <w:rFonts w:ascii="Times New Roman" w:hAnsi="Times New Roman" w:cs="Times New Roman"/>
                <w:sz w:val="20"/>
                <w:szCs w:val="20"/>
                <w:lang w:val="ro-MD"/>
              </w:rPr>
            </w:pPr>
          </w:p>
          <w:p w14:paraId="0A9A9AC4" w14:textId="77777777" w:rsidR="00F3660E" w:rsidRPr="00502787" w:rsidRDefault="00F3660E" w:rsidP="00502787">
            <w:pPr>
              <w:jc w:val="both"/>
              <w:rPr>
                <w:rFonts w:ascii="Times New Roman" w:hAnsi="Times New Roman" w:cs="Times New Roman"/>
                <w:sz w:val="20"/>
                <w:szCs w:val="20"/>
                <w:lang w:val="ro-MD"/>
              </w:rPr>
            </w:pPr>
          </w:p>
          <w:p w14:paraId="682FF697" w14:textId="77777777" w:rsidR="00F3660E" w:rsidRPr="00502787" w:rsidRDefault="00F3660E" w:rsidP="00502787">
            <w:pPr>
              <w:jc w:val="both"/>
              <w:rPr>
                <w:rFonts w:ascii="Times New Roman" w:hAnsi="Times New Roman" w:cs="Times New Roman"/>
                <w:sz w:val="20"/>
                <w:szCs w:val="20"/>
                <w:lang w:val="ro-MD"/>
              </w:rPr>
            </w:pPr>
          </w:p>
          <w:p w14:paraId="1313F133" w14:textId="77777777" w:rsidR="00F3660E" w:rsidRPr="00502787" w:rsidRDefault="00F3660E" w:rsidP="00502787">
            <w:pPr>
              <w:jc w:val="both"/>
              <w:rPr>
                <w:rFonts w:ascii="Times New Roman" w:hAnsi="Times New Roman" w:cs="Times New Roman"/>
                <w:sz w:val="20"/>
                <w:szCs w:val="20"/>
                <w:lang w:val="ro-MD"/>
              </w:rPr>
            </w:pPr>
          </w:p>
          <w:p w14:paraId="7F18EC0B" w14:textId="77777777" w:rsidR="00F3660E" w:rsidRPr="00502787" w:rsidRDefault="00F3660E" w:rsidP="00502787">
            <w:pPr>
              <w:jc w:val="both"/>
              <w:rPr>
                <w:rFonts w:ascii="Times New Roman" w:hAnsi="Times New Roman" w:cs="Times New Roman"/>
                <w:sz w:val="20"/>
                <w:szCs w:val="20"/>
                <w:lang w:val="ro-MD"/>
              </w:rPr>
            </w:pPr>
          </w:p>
          <w:p w14:paraId="7A245CE0" w14:textId="77777777" w:rsidR="00F3660E" w:rsidRPr="00502787" w:rsidRDefault="00F3660E" w:rsidP="00502787">
            <w:pPr>
              <w:jc w:val="both"/>
              <w:rPr>
                <w:rFonts w:ascii="Times New Roman" w:hAnsi="Times New Roman" w:cs="Times New Roman"/>
                <w:sz w:val="20"/>
                <w:szCs w:val="20"/>
                <w:lang w:val="ro-MD"/>
              </w:rPr>
            </w:pPr>
          </w:p>
          <w:p w14:paraId="600BF961" w14:textId="77777777" w:rsidR="00F3660E" w:rsidRPr="00502787" w:rsidRDefault="00F3660E" w:rsidP="00502787">
            <w:pPr>
              <w:jc w:val="both"/>
              <w:rPr>
                <w:rFonts w:ascii="Times New Roman" w:hAnsi="Times New Roman" w:cs="Times New Roman"/>
                <w:sz w:val="20"/>
                <w:szCs w:val="20"/>
                <w:lang w:val="ro-MD"/>
              </w:rPr>
            </w:pPr>
          </w:p>
          <w:p w14:paraId="466AEFC1" w14:textId="77777777" w:rsidR="00F3660E" w:rsidRPr="00502787" w:rsidRDefault="00F3660E" w:rsidP="00502787">
            <w:pPr>
              <w:jc w:val="both"/>
              <w:rPr>
                <w:rFonts w:ascii="Times New Roman" w:hAnsi="Times New Roman" w:cs="Times New Roman"/>
                <w:sz w:val="20"/>
                <w:szCs w:val="20"/>
                <w:lang w:val="ro-MD"/>
              </w:rPr>
            </w:pPr>
          </w:p>
          <w:p w14:paraId="0F7CA013" w14:textId="77777777" w:rsidR="00F3660E" w:rsidRPr="00502787" w:rsidRDefault="00F3660E" w:rsidP="00502787">
            <w:pPr>
              <w:jc w:val="both"/>
              <w:rPr>
                <w:rFonts w:ascii="Times New Roman" w:hAnsi="Times New Roman" w:cs="Times New Roman"/>
                <w:sz w:val="20"/>
                <w:szCs w:val="20"/>
                <w:lang w:val="ro-MD"/>
              </w:rPr>
            </w:pPr>
          </w:p>
          <w:p w14:paraId="3B15AE07" w14:textId="77777777" w:rsidR="00F3660E" w:rsidRPr="00502787" w:rsidRDefault="00F3660E" w:rsidP="00502787">
            <w:pPr>
              <w:jc w:val="both"/>
              <w:rPr>
                <w:rFonts w:ascii="Times New Roman" w:hAnsi="Times New Roman" w:cs="Times New Roman"/>
                <w:sz w:val="20"/>
                <w:szCs w:val="20"/>
                <w:lang w:val="ro-MD"/>
              </w:rPr>
            </w:pPr>
          </w:p>
          <w:p w14:paraId="49C21411" w14:textId="77777777" w:rsidR="00F3660E" w:rsidRPr="00502787" w:rsidRDefault="00F3660E" w:rsidP="00502787">
            <w:pPr>
              <w:jc w:val="both"/>
              <w:rPr>
                <w:rFonts w:ascii="Times New Roman" w:hAnsi="Times New Roman" w:cs="Times New Roman"/>
                <w:sz w:val="20"/>
                <w:szCs w:val="20"/>
                <w:lang w:val="ro-MD"/>
              </w:rPr>
            </w:pPr>
          </w:p>
          <w:p w14:paraId="35889BA1" w14:textId="77777777" w:rsidR="00F3660E" w:rsidRPr="00502787" w:rsidRDefault="00F3660E" w:rsidP="00502787">
            <w:pPr>
              <w:jc w:val="both"/>
              <w:rPr>
                <w:rFonts w:ascii="Times New Roman" w:hAnsi="Times New Roman" w:cs="Times New Roman"/>
                <w:sz w:val="20"/>
                <w:szCs w:val="20"/>
                <w:lang w:val="ro-MD"/>
              </w:rPr>
            </w:pPr>
          </w:p>
          <w:p w14:paraId="54C745F4" w14:textId="77777777" w:rsidR="00F3660E" w:rsidRPr="00502787" w:rsidRDefault="00F3660E" w:rsidP="00502787">
            <w:pPr>
              <w:jc w:val="both"/>
              <w:rPr>
                <w:rFonts w:ascii="Times New Roman" w:hAnsi="Times New Roman" w:cs="Times New Roman"/>
                <w:sz w:val="20"/>
                <w:szCs w:val="20"/>
                <w:lang w:val="ro-MD"/>
              </w:rPr>
            </w:pPr>
          </w:p>
          <w:p w14:paraId="7BD39301" w14:textId="77777777" w:rsidR="00F3660E" w:rsidRPr="00502787" w:rsidRDefault="00F3660E" w:rsidP="00502787">
            <w:pPr>
              <w:jc w:val="both"/>
              <w:rPr>
                <w:rFonts w:ascii="Times New Roman" w:hAnsi="Times New Roman" w:cs="Times New Roman"/>
                <w:sz w:val="20"/>
                <w:szCs w:val="20"/>
                <w:lang w:val="ro-MD"/>
              </w:rPr>
            </w:pPr>
          </w:p>
          <w:p w14:paraId="7EBB86BE" w14:textId="77777777" w:rsidR="00F3660E" w:rsidRPr="00502787" w:rsidRDefault="00F3660E" w:rsidP="00502787">
            <w:pPr>
              <w:jc w:val="both"/>
              <w:rPr>
                <w:rFonts w:ascii="Times New Roman" w:hAnsi="Times New Roman" w:cs="Times New Roman"/>
                <w:sz w:val="20"/>
                <w:szCs w:val="20"/>
                <w:lang w:val="ro-MD"/>
              </w:rPr>
            </w:pPr>
          </w:p>
          <w:p w14:paraId="7B2D311D" w14:textId="77777777" w:rsidR="00F3660E" w:rsidRPr="00502787" w:rsidRDefault="00F3660E" w:rsidP="00502787">
            <w:pPr>
              <w:jc w:val="both"/>
              <w:rPr>
                <w:rFonts w:ascii="Times New Roman" w:hAnsi="Times New Roman" w:cs="Times New Roman"/>
                <w:sz w:val="20"/>
                <w:szCs w:val="20"/>
                <w:lang w:val="ro-MD"/>
              </w:rPr>
            </w:pPr>
          </w:p>
          <w:p w14:paraId="0FC21CC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Finanțelor</w:t>
            </w:r>
          </w:p>
          <w:p w14:paraId="24D5A4E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Începînd cu 01 ianuarie 2024 a intrat în vigoare noul Cod Vamal, aprobat prin Legea nr. 95/2021 ce vine să asigure procesul de armonizare a cadrului național la acquis vamal comunitar. Astfel, actul normativ va îmbunătăți calitatea serviciilor furnizate agenților economici de către autoritatea vamală, va reduce costurile și întârzierile legate de declararea mărfurilor și va diminua riscurile de fraudă și incidentele de integritate prin monitorizarea online a operațiunilor vamale și reducerea numărului </w:t>
            </w:r>
            <w:r w:rsidRPr="00502787">
              <w:rPr>
                <w:rFonts w:ascii="Times New Roman" w:hAnsi="Times New Roman" w:cs="Times New Roman"/>
                <w:sz w:val="20"/>
                <w:szCs w:val="20"/>
                <w:lang w:val="ro-MD"/>
              </w:rPr>
              <w:lastRenderedPageBreak/>
              <w:t>procedurilor vamale pe suport de hârtie. Principalele măsuri noi care vin să optimizeze formalitățile vamale   odată cu intrarea în vigoare a noului Cod vamal sunt:</w:t>
            </w:r>
          </w:p>
          <w:p w14:paraId="3324F44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trecerea la un mediu elecronic -fără hirtie-prezentarea informațiilor în format electronic necesare vămuirii; optimizarea procesului de analiză de risc intru combaterea fraudei vamale;</w:t>
            </w:r>
          </w:p>
          <w:p w14:paraId="2BBB71D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modernizarea și implementarea  instrumentelor de facilitare a comerțului la standardele internaționale, prin implementarea de simplificări și mecanisme de care poate beneficia operatorul economic pentru a reduce costurile și timpul de efectuare a formalităților vamale;</w:t>
            </w:r>
          </w:p>
          <w:p w14:paraId="510B84E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modernizarea infrastructurii transfrontaliere intru minizarea timpilor de traversare la punctele de trecere a frontierei de stat.</w:t>
            </w:r>
          </w:p>
          <w:p w14:paraId="41F72B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Astfel, dorim să menționăm că agenda de reforme existentă deja include aceste aspecte privind optimizarea formalităților vamale.</w:t>
            </w:r>
          </w:p>
          <w:p w14:paraId="424F7813" w14:textId="77777777" w:rsidR="00F3660E" w:rsidRPr="00502787" w:rsidRDefault="00F3660E" w:rsidP="00502787">
            <w:pPr>
              <w:jc w:val="both"/>
              <w:rPr>
                <w:rFonts w:ascii="Times New Roman" w:hAnsi="Times New Roman" w:cs="Times New Roman"/>
                <w:sz w:val="20"/>
                <w:szCs w:val="20"/>
                <w:lang w:val="ro-MD"/>
              </w:rPr>
            </w:pPr>
          </w:p>
          <w:p w14:paraId="7DBE4A4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Infrastructurii și Dezvoltării Regionale</w:t>
            </w:r>
          </w:p>
          <w:p w14:paraId="0834ED7A" w14:textId="77777777" w:rsidR="00F3660E" w:rsidRPr="00502787" w:rsidRDefault="00F3660E" w:rsidP="00502787">
            <w:pPr>
              <w:jc w:val="both"/>
              <w:rPr>
                <w:rFonts w:ascii="Times New Roman" w:hAnsi="Times New Roman" w:cs="Times New Roman"/>
                <w:sz w:val="20"/>
                <w:szCs w:val="20"/>
                <w:lang w:val="ro-MD"/>
              </w:rPr>
            </w:pPr>
          </w:p>
          <w:p w14:paraId="718706B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 menționat, că întru asigurarea previzibilității și rezilienței finanțării drumurilor, în Strategia de mobilitate la direcția prioritară nr. 1.2 este prevăzută măsura de asigurare a previzibilității și rezilienței finanțării infrastructurii de transport corelate cu necesitățile populației, fondurile colectate, alocate în totalitate pentru Fondul rutier să fie repartizate cu destinație specială infrastructurii rutiere. Astfel, se urmărește consolidarea unui sistem sustenabil de finanțare care să asigure întreținerea și modernizarea drumurilor naționale, regionale și locale.</w:t>
            </w:r>
          </w:p>
          <w:p w14:paraId="6419401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Totodată, se remarcă o îmbunătățire a capacității de absorbție a fondurilor externe destinate infrastructurii de transport. În perioada 2021-2024, rata de absorbție a acestor resurse a ajuns în mediu la 46%.</w:t>
            </w:r>
          </w:p>
          <w:p w14:paraId="37BCB9C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ceea ce privește implementarea contractelor de serviciu public (PSO) pentru transportul feroviar de pasageri și finanțarea întreținerii infrastructurii feroviare, subliniem că agenda de reforme existentă deja include aceste aspecte. </w:t>
            </w:r>
          </w:p>
          <w:p w14:paraId="5E2EDD34" w14:textId="77777777" w:rsidR="00F3660E" w:rsidRPr="00502787" w:rsidRDefault="00F3660E" w:rsidP="00502787">
            <w:pPr>
              <w:jc w:val="both"/>
              <w:rPr>
                <w:rFonts w:ascii="Times New Roman" w:hAnsi="Times New Roman" w:cs="Times New Roman"/>
                <w:sz w:val="20"/>
                <w:szCs w:val="20"/>
                <w:lang w:val="ro-MD"/>
              </w:rPr>
            </w:pPr>
          </w:p>
          <w:p w14:paraId="46E907A8" w14:textId="77777777" w:rsidR="00F3660E" w:rsidRPr="00502787" w:rsidRDefault="00F3660E" w:rsidP="00502787">
            <w:pPr>
              <w:jc w:val="both"/>
              <w:rPr>
                <w:rFonts w:ascii="Times New Roman" w:hAnsi="Times New Roman" w:cs="Times New Roman"/>
                <w:sz w:val="20"/>
                <w:szCs w:val="20"/>
                <w:lang w:val="ro-MD"/>
              </w:rPr>
            </w:pPr>
          </w:p>
          <w:p w14:paraId="74D783DB" w14:textId="77777777" w:rsidR="00F3660E" w:rsidRPr="00502787" w:rsidRDefault="00F3660E" w:rsidP="00502787">
            <w:pPr>
              <w:jc w:val="both"/>
              <w:rPr>
                <w:rFonts w:ascii="Times New Roman" w:hAnsi="Times New Roman" w:cs="Times New Roman"/>
                <w:sz w:val="20"/>
                <w:szCs w:val="20"/>
                <w:lang w:val="ro-MD"/>
              </w:rPr>
            </w:pPr>
          </w:p>
          <w:p w14:paraId="0AEA61D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Infrastructurii și Dezvoltării Regionale</w:t>
            </w:r>
          </w:p>
          <w:p w14:paraId="5CB95E7C" w14:textId="77777777" w:rsidR="00F3660E" w:rsidRPr="00502787" w:rsidRDefault="00F3660E" w:rsidP="00502787">
            <w:pPr>
              <w:jc w:val="both"/>
              <w:rPr>
                <w:rFonts w:ascii="Times New Roman" w:hAnsi="Times New Roman" w:cs="Times New Roman"/>
                <w:sz w:val="20"/>
                <w:szCs w:val="20"/>
                <w:lang w:val="ro-MD"/>
              </w:rPr>
            </w:pPr>
          </w:p>
          <w:p w14:paraId="4E6A96E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Menționăm că propunerile date nu pot fi acceptate reieșind din faptul că nu se încadrează în conceptul și obiectivele Agendei de Reforme. Totuși aceste propuneri urmează a fi considerate în procesul de elaborare a Programului sectorial pentru implementarea Strategiei de mobilitate 2030</w:t>
            </w:r>
          </w:p>
          <w:p w14:paraId="6A2C36A5" w14:textId="77777777" w:rsidR="00F3660E" w:rsidRPr="00502787" w:rsidRDefault="00F3660E" w:rsidP="00502787">
            <w:pPr>
              <w:jc w:val="both"/>
              <w:rPr>
                <w:rFonts w:ascii="Times New Roman" w:hAnsi="Times New Roman" w:cs="Times New Roman"/>
                <w:sz w:val="20"/>
                <w:szCs w:val="20"/>
                <w:lang w:val="ro-MD"/>
              </w:rPr>
            </w:pPr>
          </w:p>
          <w:p w14:paraId="3D393527" w14:textId="77777777" w:rsidR="00F3660E" w:rsidRPr="00502787" w:rsidRDefault="00F3660E" w:rsidP="00502787">
            <w:pPr>
              <w:jc w:val="both"/>
              <w:rPr>
                <w:rFonts w:ascii="Times New Roman" w:hAnsi="Times New Roman" w:cs="Times New Roman"/>
                <w:sz w:val="20"/>
                <w:szCs w:val="20"/>
                <w:lang w:val="ro-MD"/>
              </w:rPr>
            </w:pPr>
          </w:p>
          <w:p w14:paraId="56B8F182" w14:textId="77777777" w:rsidR="00F3660E" w:rsidRPr="00502787" w:rsidRDefault="00F3660E" w:rsidP="00502787">
            <w:pPr>
              <w:jc w:val="both"/>
              <w:rPr>
                <w:rFonts w:ascii="Times New Roman" w:hAnsi="Times New Roman" w:cs="Times New Roman"/>
                <w:sz w:val="20"/>
                <w:szCs w:val="20"/>
                <w:lang w:val="ro-MD"/>
              </w:rPr>
            </w:pPr>
          </w:p>
          <w:p w14:paraId="1015E7FD" w14:textId="77777777" w:rsidR="00F3660E" w:rsidRPr="00502787" w:rsidRDefault="00F3660E" w:rsidP="00502787">
            <w:pPr>
              <w:jc w:val="both"/>
              <w:rPr>
                <w:rFonts w:ascii="Times New Roman" w:hAnsi="Times New Roman" w:cs="Times New Roman"/>
                <w:sz w:val="20"/>
                <w:szCs w:val="20"/>
                <w:lang w:val="ro-MD"/>
              </w:rPr>
            </w:pPr>
          </w:p>
          <w:p w14:paraId="5894BB2E" w14:textId="77777777" w:rsidR="00463565" w:rsidRPr="00502787" w:rsidRDefault="00463565" w:rsidP="00502787">
            <w:pPr>
              <w:jc w:val="both"/>
              <w:rPr>
                <w:rFonts w:ascii="Times New Roman" w:hAnsi="Times New Roman" w:cs="Times New Roman"/>
                <w:sz w:val="20"/>
                <w:szCs w:val="20"/>
                <w:lang w:val="ro-MD"/>
              </w:rPr>
            </w:pPr>
          </w:p>
          <w:p w14:paraId="435CDD99" w14:textId="77777777" w:rsidR="00463565" w:rsidRPr="00502787" w:rsidRDefault="00463565" w:rsidP="00502787">
            <w:pPr>
              <w:jc w:val="both"/>
              <w:rPr>
                <w:rFonts w:ascii="Times New Roman" w:hAnsi="Times New Roman" w:cs="Times New Roman"/>
                <w:sz w:val="20"/>
                <w:szCs w:val="20"/>
                <w:lang w:val="ro-MD"/>
              </w:rPr>
            </w:pPr>
          </w:p>
          <w:p w14:paraId="1A06EFF2" w14:textId="77777777" w:rsidR="00463565" w:rsidRPr="00502787" w:rsidRDefault="00463565" w:rsidP="00502787">
            <w:pPr>
              <w:jc w:val="both"/>
              <w:rPr>
                <w:rFonts w:ascii="Times New Roman" w:hAnsi="Times New Roman" w:cs="Times New Roman"/>
                <w:sz w:val="20"/>
                <w:szCs w:val="20"/>
                <w:lang w:val="ro-MD"/>
              </w:rPr>
            </w:pPr>
          </w:p>
          <w:p w14:paraId="23E0BD0C" w14:textId="77777777" w:rsidR="00463565" w:rsidRPr="00502787" w:rsidRDefault="00463565" w:rsidP="00502787">
            <w:pPr>
              <w:jc w:val="both"/>
              <w:rPr>
                <w:rFonts w:ascii="Times New Roman" w:hAnsi="Times New Roman" w:cs="Times New Roman"/>
                <w:sz w:val="20"/>
                <w:szCs w:val="20"/>
                <w:lang w:val="ro-MD"/>
              </w:rPr>
            </w:pPr>
          </w:p>
          <w:p w14:paraId="3419BF72" w14:textId="77777777" w:rsidR="00463565" w:rsidRPr="00502787" w:rsidRDefault="00463565" w:rsidP="00502787">
            <w:pPr>
              <w:jc w:val="both"/>
              <w:rPr>
                <w:rFonts w:ascii="Times New Roman" w:hAnsi="Times New Roman" w:cs="Times New Roman"/>
                <w:sz w:val="20"/>
                <w:szCs w:val="20"/>
                <w:lang w:val="ro-MD"/>
              </w:rPr>
            </w:pPr>
          </w:p>
          <w:p w14:paraId="4E9C7C76" w14:textId="77777777" w:rsidR="00463565" w:rsidRPr="00502787" w:rsidRDefault="00463565" w:rsidP="00502787">
            <w:pPr>
              <w:jc w:val="both"/>
              <w:rPr>
                <w:rFonts w:ascii="Times New Roman" w:hAnsi="Times New Roman" w:cs="Times New Roman"/>
                <w:sz w:val="20"/>
                <w:szCs w:val="20"/>
                <w:lang w:val="ro-MD"/>
              </w:rPr>
            </w:pPr>
          </w:p>
          <w:p w14:paraId="430967B8" w14:textId="77777777" w:rsidR="00463565" w:rsidRPr="00502787" w:rsidRDefault="00463565" w:rsidP="00502787">
            <w:pPr>
              <w:jc w:val="both"/>
              <w:rPr>
                <w:rFonts w:ascii="Times New Roman" w:hAnsi="Times New Roman" w:cs="Times New Roman"/>
                <w:sz w:val="20"/>
                <w:szCs w:val="20"/>
                <w:lang w:val="ro-MD"/>
              </w:rPr>
            </w:pPr>
          </w:p>
          <w:p w14:paraId="6300C0A0" w14:textId="77777777" w:rsidR="00463565" w:rsidRPr="00502787" w:rsidRDefault="00463565" w:rsidP="00502787">
            <w:pPr>
              <w:jc w:val="both"/>
              <w:rPr>
                <w:rFonts w:ascii="Times New Roman" w:hAnsi="Times New Roman" w:cs="Times New Roman"/>
                <w:sz w:val="20"/>
                <w:szCs w:val="20"/>
                <w:lang w:val="ro-MD"/>
              </w:rPr>
            </w:pPr>
          </w:p>
          <w:p w14:paraId="7D6B40A6" w14:textId="77777777" w:rsidR="00463565" w:rsidRPr="00502787" w:rsidRDefault="00463565" w:rsidP="00502787">
            <w:pPr>
              <w:jc w:val="both"/>
              <w:rPr>
                <w:rFonts w:ascii="Times New Roman" w:hAnsi="Times New Roman" w:cs="Times New Roman"/>
                <w:sz w:val="20"/>
                <w:szCs w:val="20"/>
                <w:lang w:val="ro-MD"/>
              </w:rPr>
            </w:pPr>
          </w:p>
          <w:p w14:paraId="00A8D52E" w14:textId="77777777" w:rsidR="00463565" w:rsidRPr="00502787" w:rsidRDefault="00463565" w:rsidP="00502787">
            <w:pPr>
              <w:jc w:val="both"/>
              <w:rPr>
                <w:rFonts w:ascii="Times New Roman" w:hAnsi="Times New Roman" w:cs="Times New Roman"/>
                <w:sz w:val="20"/>
                <w:szCs w:val="20"/>
                <w:lang w:val="ro-MD"/>
              </w:rPr>
            </w:pPr>
          </w:p>
          <w:p w14:paraId="70E57D56" w14:textId="77777777" w:rsidR="00463565" w:rsidRPr="00502787" w:rsidRDefault="00463565" w:rsidP="00502787">
            <w:pPr>
              <w:jc w:val="both"/>
              <w:rPr>
                <w:rFonts w:ascii="Times New Roman" w:hAnsi="Times New Roman" w:cs="Times New Roman"/>
                <w:sz w:val="20"/>
                <w:szCs w:val="20"/>
                <w:lang w:val="ro-MD"/>
              </w:rPr>
            </w:pPr>
          </w:p>
          <w:p w14:paraId="1FFA3FCD" w14:textId="77777777" w:rsidR="00463565" w:rsidRPr="00502787" w:rsidRDefault="00463565" w:rsidP="00502787">
            <w:pPr>
              <w:jc w:val="both"/>
              <w:rPr>
                <w:rFonts w:ascii="Times New Roman" w:hAnsi="Times New Roman" w:cs="Times New Roman"/>
                <w:sz w:val="20"/>
                <w:szCs w:val="20"/>
                <w:lang w:val="ro-MD"/>
              </w:rPr>
            </w:pPr>
          </w:p>
          <w:p w14:paraId="4B0258FD" w14:textId="77777777" w:rsidR="00463565" w:rsidRPr="00502787" w:rsidRDefault="00463565" w:rsidP="00502787">
            <w:pPr>
              <w:jc w:val="both"/>
              <w:rPr>
                <w:rFonts w:ascii="Times New Roman" w:hAnsi="Times New Roman" w:cs="Times New Roman"/>
                <w:sz w:val="20"/>
                <w:szCs w:val="20"/>
                <w:lang w:val="ro-MD"/>
              </w:rPr>
            </w:pPr>
          </w:p>
          <w:p w14:paraId="4ED4157B" w14:textId="77777777" w:rsidR="00463565" w:rsidRPr="00502787" w:rsidRDefault="00463565" w:rsidP="00502787">
            <w:pPr>
              <w:jc w:val="both"/>
              <w:rPr>
                <w:rFonts w:ascii="Times New Roman" w:hAnsi="Times New Roman" w:cs="Times New Roman"/>
                <w:sz w:val="20"/>
                <w:szCs w:val="20"/>
                <w:lang w:val="ro-MD"/>
              </w:rPr>
            </w:pPr>
          </w:p>
          <w:p w14:paraId="3CB7F0EA" w14:textId="77777777" w:rsidR="00463565" w:rsidRPr="00502787" w:rsidRDefault="00463565" w:rsidP="00502787">
            <w:pPr>
              <w:jc w:val="both"/>
              <w:rPr>
                <w:rFonts w:ascii="Times New Roman" w:hAnsi="Times New Roman" w:cs="Times New Roman"/>
                <w:sz w:val="20"/>
                <w:szCs w:val="20"/>
                <w:lang w:val="ro-MD"/>
              </w:rPr>
            </w:pPr>
          </w:p>
          <w:p w14:paraId="1EAB0280" w14:textId="77777777" w:rsidR="00463565" w:rsidRPr="00502787" w:rsidRDefault="00463565" w:rsidP="00502787">
            <w:pPr>
              <w:jc w:val="both"/>
              <w:rPr>
                <w:rFonts w:ascii="Times New Roman" w:hAnsi="Times New Roman" w:cs="Times New Roman"/>
                <w:sz w:val="20"/>
                <w:szCs w:val="20"/>
                <w:lang w:val="ro-MD"/>
              </w:rPr>
            </w:pPr>
          </w:p>
          <w:p w14:paraId="074430F5" w14:textId="77777777" w:rsidR="00463565" w:rsidRPr="00502787" w:rsidRDefault="00463565" w:rsidP="00502787">
            <w:pPr>
              <w:jc w:val="both"/>
              <w:rPr>
                <w:rFonts w:ascii="Times New Roman" w:hAnsi="Times New Roman" w:cs="Times New Roman"/>
                <w:sz w:val="20"/>
                <w:szCs w:val="20"/>
                <w:lang w:val="ro-MD"/>
              </w:rPr>
            </w:pPr>
          </w:p>
          <w:p w14:paraId="2DA5F3E9" w14:textId="77777777" w:rsidR="00463565" w:rsidRPr="00502787" w:rsidRDefault="00463565" w:rsidP="00502787">
            <w:pPr>
              <w:jc w:val="both"/>
              <w:rPr>
                <w:rFonts w:ascii="Times New Roman" w:hAnsi="Times New Roman" w:cs="Times New Roman"/>
                <w:sz w:val="20"/>
                <w:szCs w:val="20"/>
                <w:lang w:val="ro-MD"/>
              </w:rPr>
            </w:pPr>
          </w:p>
          <w:p w14:paraId="371CD592" w14:textId="77777777" w:rsidR="00463565" w:rsidRPr="00502787" w:rsidRDefault="00463565" w:rsidP="00502787">
            <w:pPr>
              <w:jc w:val="both"/>
              <w:rPr>
                <w:rFonts w:ascii="Times New Roman" w:hAnsi="Times New Roman" w:cs="Times New Roman"/>
                <w:sz w:val="20"/>
                <w:szCs w:val="20"/>
                <w:lang w:val="ro-MD"/>
              </w:rPr>
            </w:pPr>
          </w:p>
          <w:p w14:paraId="6D45043F" w14:textId="77777777" w:rsidR="005C029B" w:rsidRPr="00502787" w:rsidRDefault="005C029B" w:rsidP="00502787">
            <w:pPr>
              <w:jc w:val="both"/>
              <w:rPr>
                <w:rFonts w:ascii="Times New Roman" w:hAnsi="Times New Roman" w:cs="Times New Roman"/>
                <w:sz w:val="20"/>
                <w:szCs w:val="20"/>
                <w:lang w:val="ro-MD"/>
              </w:rPr>
            </w:pPr>
          </w:p>
          <w:p w14:paraId="005B498A" w14:textId="77777777" w:rsidR="005C029B" w:rsidRPr="00502787" w:rsidRDefault="005C029B" w:rsidP="00502787">
            <w:pPr>
              <w:jc w:val="both"/>
              <w:rPr>
                <w:rFonts w:ascii="Times New Roman" w:hAnsi="Times New Roman" w:cs="Times New Roman"/>
                <w:sz w:val="20"/>
                <w:szCs w:val="20"/>
                <w:lang w:val="ro-MD"/>
              </w:rPr>
            </w:pPr>
          </w:p>
          <w:p w14:paraId="0F0D96E8" w14:textId="77777777" w:rsidR="005C029B" w:rsidRPr="00502787" w:rsidRDefault="005C029B" w:rsidP="00502787">
            <w:pPr>
              <w:jc w:val="both"/>
              <w:rPr>
                <w:rFonts w:ascii="Times New Roman" w:hAnsi="Times New Roman" w:cs="Times New Roman"/>
                <w:sz w:val="20"/>
                <w:szCs w:val="20"/>
                <w:lang w:val="ro-MD"/>
              </w:rPr>
            </w:pPr>
          </w:p>
          <w:p w14:paraId="4D7A629E" w14:textId="77777777" w:rsidR="005C029B" w:rsidRPr="00502787" w:rsidRDefault="005C029B" w:rsidP="00502787">
            <w:pPr>
              <w:jc w:val="both"/>
              <w:rPr>
                <w:rFonts w:ascii="Times New Roman" w:hAnsi="Times New Roman" w:cs="Times New Roman"/>
                <w:sz w:val="20"/>
                <w:szCs w:val="20"/>
                <w:lang w:val="ro-MD"/>
              </w:rPr>
            </w:pPr>
          </w:p>
          <w:p w14:paraId="32993E87" w14:textId="77777777" w:rsidR="005C029B" w:rsidRPr="00502787" w:rsidRDefault="005C029B" w:rsidP="00502787">
            <w:pPr>
              <w:jc w:val="both"/>
              <w:rPr>
                <w:rFonts w:ascii="Times New Roman" w:hAnsi="Times New Roman" w:cs="Times New Roman"/>
                <w:sz w:val="20"/>
                <w:szCs w:val="20"/>
                <w:lang w:val="ro-MD"/>
              </w:rPr>
            </w:pPr>
          </w:p>
          <w:p w14:paraId="7EFA997E" w14:textId="77777777" w:rsidR="005C029B" w:rsidRPr="00502787" w:rsidRDefault="005C029B" w:rsidP="00502787">
            <w:pPr>
              <w:jc w:val="both"/>
              <w:rPr>
                <w:rFonts w:ascii="Times New Roman" w:hAnsi="Times New Roman" w:cs="Times New Roman"/>
                <w:sz w:val="20"/>
                <w:szCs w:val="20"/>
                <w:lang w:val="ro-MD"/>
              </w:rPr>
            </w:pPr>
          </w:p>
          <w:p w14:paraId="0E8ADF12" w14:textId="77777777" w:rsidR="005C029B" w:rsidRPr="00502787" w:rsidRDefault="005C029B" w:rsidP="00502787">
            <w:pPr>
              <w:jc w:val="both"/>
              <w:rPr>
                <w:rFonts w:ascii="Times New Roman" w:hAnsi="Times New Roman" w:cs="Times New Roman"/>
                <w:sz w:val="20"/>
                <w:szCs w:val="20"/>
                <w:lang w:val="ro-MD"/>
              </w:rPr>
            </w:pPr>
          </w:p>
          <w:p w14:paraId="0B1F5402" w14:textId="77777777" w:rsidR="005C029B" w:rsidRPr="00502787" w:rsidRDefault="005C029B" w:rsidP="00502787">
            <w:pPr>
              <w:jc w:val="both"/>
              <w:rPr>
                <w:rFonts w:ascii="Times New Roman" w:hAnsi="Times New Roman" w:cs="Times New Roman"/>
                <w:sz w:val="20"/>
                <w:szCs w:val="20"/>
                <w:lang w:val="ro-MD"/>
              </w:rPr>
            </w:pPr>
          </w:p>
          <w:p w14:paraId="33718DA2" w14:textId="4BE68C4C"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w:t>
            </w:r>
          </w:p>
          <w:p w14:paraId="4AF22914" w14:textId="46959D62"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Nu se acceptă, întrucât măsurile propuse sunt deja incluse în Pilonul 6. Implementarea acestora va contribui la </w:t>
            </w:r>
            <w:r w:rsidRPr="00502787">
              <w:rPr>
                <w:rFonts w:ascii="Times New Roman" w:hAnsi="Times New Roman" w:cs="Times New Roman"/>
                <w:sz w:val="20"/>
                <w:szCs w:val="20"/>
                <w:lang w:val="ro-MD"/>
              </w:rPr>
              <w:lastRenderedPageBreak/>
              <w:t>reducerea costurilor de operare suportate de mediul de afaceri, la sporirea competitivității produselor și serviciilor autohtone, precum și la creșterea valorii adăugate în economie.</w:t>
            </w:r>
          </w:p>
          <w:p w14:paraId="471EC359"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09CD9EAE" w14:textId="77777777">
        <w:trPr>
          <w:trHeight w:val="562"/>
        </w:trPr>
        <w:tc>
          <w:tcPr>
            <w:tcW w:w="556" w:type="dxa"/>
            <w:vMerge w:val="restart"/>
          </w:tcPr>
          <w:p w14:paraId="63B7B36B"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96AF853"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37C55A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3: Guvernare economică</w:t>
            </w:r>
          </w:p>
          <w:p w14:paraId="29308BC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2.6. Textul propus: Gestionarea investițiilor publice este consolidată prin creșterea</w:t>
            </w:r>
          </w:p>
          <w:p w14:paraId="466E102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profesionalismului unităților de implementare a proiectelor pentru a accelera tempoul de reabilitare a infrastructurii inclusiv de transport, preluarea bunelor practici între unitățile de implementare a proiectelor de infrastructură, asigurarea predictibilității în finanțarea proiectelor de infrastructură prin respectarea programelor de implementare a strategiilor sectoriale și a cadrului de planificare pe termen mediu fapt ce va permite un cadru singur de</w:t>
            </w:r>
          </w:p>
          <w:p w14:paraId="076D917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planificare a investițiilor private în sector, precum și depolitizarea Consiliului fondului rutier pentru asigurarea promovării deciziilor fundamentate pe date și pe criterii de eficiență și asigurarea unui secretariat permanent al Consiliului fondului rutier.</w:t>
            </w:r>
          </w:p>
          <w:p w14:paraId="1173378A" w14:textId="77777777" w:rsidR="00F3660E" w:rsidRPr="00502787" w:rsidRDefault="00F3660E" w:rsidP="00502787">
            <w:pPr>
              <w:jc w:val="both"/>
              <w:rPr>
                <w:rFonts w:ascii="Times New Roman" w:hAnsi="Times New Roman" w:cs="Times New Roman"/>
                <w:i/>
                <w:sz w:val="20"/>
                <w:szCs w:val="20"/>
                <w:lang w:val="ro-MD"/>
              </w:rPr>
            </w:pPr>
          </w:p>
          <w:p w14:paraId="0C26556B"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Consolidarea gestionării instituțiilor publice necesită o abordare holistică și mai ambițioasă privind fortificarea guvernanței instituțiilor implicate, conform celor recomandate</w:t>
            </w:r>
          </w:p>
        </w:tc>
        <w:tc>
          <w:tcPr>
            <w:tcW w:w="4819" w:type="dxa"/>
            <w:vMerge w:val="restart"/>
          </w:tcPr>
          <w:p w14:paraId="35A7AAC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Finanțelor</w:t>
            </w:r>
          </w:p>
          <w:p w14:paraId="7C4EB9D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Sustinem argumentarea CS referitor la proiectul de lege privind institutiile publice</w:t>
            </w:r>
          </w:p>
          <w:p w14:paraId="733CD72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0017EAA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Cancelaria de Stat</w:t>
            </w:r>
          </w:p>
          <w:p w14:paraId="690BEE9B" w14:textId="52B36DFC"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Prin proiectul de lege privind insituțiile publice NU 524/CS/2025 Guvernul și-a propus definirea clară a mandatelor instituțiilor publice centrale, eliminarea suprapunerilor, delimitarea clară a rolurilor între instituțiile responsabile de fundamentarea politicilor publice și instituțiile de implementare, inclusiv unităților de implementare a proiectelor finanțate din surse externe, pentru a avea reguli clare și uniforme pentru aceste unități prin asigurarea ajustării raporturilor juridice dintre Unități și ministerele de ramură, în calitate de fondatori a acestora, cu criterii clare de interacțiune și control pentru asigurarea bunei guvernanțe, reguli clare și uniforme de selectare și numire a membrilor organelor de supraveghere/directorilor a unităților (cu stabilirea clară a competențelor și sarcinilor), unor reguli clare și uniforme de evaluare și monitorizare a activității unităților, inclusiv evidență și raportare financiară a activității.</w:t>
            </w:r>
          </w:p>
        </w:tc>
      </w:tr>
      <w:tr w:rsidR="0024020C" w:rsidRPr="00502787" w14:paraId="132B0434" w14:textId="77777777">
        <w:trPr>
          <w:trHeight w:val="592"/>
        </w:trPr>
        <w:tc>
          <w:tcPr>
            <w:tcW w:w="556" w:type="dxa"/>
            <w:vMerge w:val="restart"/>
          </w:tcPr>
          <w:p w14:paraId="304D420B"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EEB68C1"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481E75E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3: Guvernare economică</w:t>
            </w:r>
          </w:p>
          <w:p w14:paraId="539DE4D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9.22. Textul propus: Sunt elaborate profiluri de investiții pentru 5 întreprinderi de stat și/sau companii cu capital de stat și sunt lansate proceduri de privatizare.</w:t>
            </w:r>
          </w:p>
          <w:p w14:paraId="6B605E8C" w14:textId="77777777" w:rsidR="00F3660E" w:rsidRPr="00502787" w:rsidRDefault="00F3660E" w:rsidP="00502787">
            <w:pPr>
              <w:jc w:val="both"/>
              <w:rPr>
                <w:rFonts w:ascii="Times New Roman" w:hAnsi="Times New Roman" w:cs="Times New Roman"/>
                <w:sz w:val="20"/>
                <w:szCs w:val="20"/>
                <w:lang w:val="ro-MD"/>
              </w:rPr>
            </w:pPr>
          </w:p>
          <w:p w14:paraId="6B181047"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Abordarea nu trebuie să se limiteze doar la întreprinderile de stat.</w:t>
            </w:r>
          </w:p>
        </w:tc>
        <w:tc>
          <w:tcPr>
            <w:tcW w:w="4819" w:type="dxa"/>
            <w:vMerge w:val="restart"/>
          </w:tcPr>
          <w:p w14:paraId="1535518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Agenția Proprietății Publice</w:t>
            </w:r>
          </w:p>
          <w:p w14:paraId="39858AE0" w14:textId="77777777" w:rsidR="00F3660E" w:rsidRPr="00502787" w:rsidRDefault="00F3660E" w:rsidP="00502787">
            <w:pPr>
              <w:jc w:val="both"/>
              <w:rPr>
                <w:rFonts w:ascii="Times New Roman" w:hAnsi="Times New Roman" w:cs="Times New Roman"/>
                <w:sz w:val="20"/>
                <w:szCs w:val="20"/>
                <w:lang w:val="ro-MD"/>
              </w:rPr>
            </w:pPr>
          </w:p>
          <w:p w14:paraId="532D7D4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acceptă.</w:t>
            </w:r>
          </w:p>
        </w:tc>
      </w:tr>
      <w:tr w:rsidR="0024020C" w:rsidRPr="00502787" w14:paraId="34A69B9E" w14:textId="77777777">
        <w:trPr>
          <w:trHeight w:val="790"/>
        </w:trPr>
        <w:tc>
          <w:tcPr>
            <w:tcW w:w="556" w:type="dxa"/>
            <w:vMerge w:val="restart"/>
          </w:tcPr>
          <w:p w14:paraId="744CED58"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463A3A7C"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42E2881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3: Guvernare economică</w:t>
            </w:r>
          </w:p>
          <w:p w14:paraId="078B49B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9.24. De completat cu următorul punct: ”Digitalizarea informației despre proprietatea publică prin dezvoltarea și punerea în aplicare a Sistemului Informațional Automatizat Registrul Patrimoniului Public (SIA RPP).</w:t>
            </w:r>
          </w:p>
          <w:p w14:paraId="05980B9D" w14:textId="77777777" w:rsidR="00F3660E" w:rsidRPr="00502787" w:rsidRDefault="00F3660E" w:rsidP="00502787">
            <w:pPr>
              <w:jc w:val="both"/>
              <w:rPr>
                <w:rFonts w:ascii="Times New Roman" w:hAnsi="Times New Roman" w:cs="Times New Roman"/>
                <w:sz w:val="20"/>
                <w:szCs w:val="20"/>
                <w:lang w:val="ro-MD"/>
              </w:rPr>
            </w:pPr>
          </w:p>
          <w:p w14:paraId="35022B80"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Comentariu: Guvernul a aprobat conceptul SIA RPP în 2023, care necesită implementat pentru a fortifica guvernanța patrimoniului public.</w:t>
            </w:r>
          </w:p>
        </w:tc>
        <w:tc>
          <w:tcPr>
            <w:tcW w:w="4819" w:type="dxa"/>
            <w:vMerge w:val="restart"/>
          </w:tcPr>
          <w:p w14:paraId="2F4BA07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Dezvoltării Economice și Digitalizării</w:t>
            </w:r>
          </w:p>
          <w:p w14:paraId="0357122E" w14:textId="77777777" w:rsidR="00F3660E" w:rsidRPr="00502787" w:rsidRDefault="00F3660E" w:rsidP="00502787">
            <w:pPr>
              <w:jc w:val="both"/>
              <w:rPr>
                <w:rFonts w:ascii="Times New Roman" w:hAnsi="Times New Roman" w:cs="Times New Roman"/>
                <w:sz w:val="20"/>
                <w:szCs w:val="20"/>
                <w:lang w:val="ro-MD"/>
              </w:rPr>
            </w:pPr>
          </w:p>
          <w:p w14:paraId="3E611D3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Agenția Proprietății Publice</w:t>
            </w:r>
          </w:p>
          <w:p w14:paraId="2EABA5A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Se acceptă, cu ajustările redate </w:t>
            </w:r>
            <w:r w:rsidRPr="00502787">
              <w:rPr>
                <w:rFonts w:ascii="Times New Roman" w:hAnsi="Times New Roman" w:cs="Times New Roman"/>
                <w:i/>
                <w:iCs/>
                <w:sz w:val="20"/>
                <w:szCs w:val="20"/>
                <w:lang w:val="ro-MD"/>
              </w:rPr>
              <w:t>infra</w:t>
            </w:r>
            <w:r w:rsidRPr="00502787">
              <w:rPr>
                <w:rFonts w:ascii="Times New Roman" w:hAnsi="Times New Roman" w:cs="Times New Roman"/>
                <w:sz w:val="20"/>
                <w:szCs w:val="20"/>
                <w:lang w:val="ro-MD"/>
              </w:rPr>
              <w:t>:</w:t>
            </w:r>
          </w:p>
          <w:p w14:paraId="09FE87C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„Perfectarea și punerea în aplicare a îmbunătățirilor Sistemului Informațional Automatizate Registrul Patrimoniului Public (SIA RPP).”.</w:t>
            </w:r>
          </w:p>
          <w:p w14:paraId="04ABB929" w14:textId="77777777" w:rsidR="00F3660E" w:rsidRPr="00502787" w:rsidRDefault="00F3660E" w:rsidP="00502787">
            <w:pPr>
              <w:jc w:val="both"/>
              <w:rPr>
                <w:rFonts w:ascii="Times New Roman" w:hAnsi="Times New Roman" w:cs="Times New Roman"/>
                <w:sz w:val="20"/>
                <w:szCs w:val="20"/>
                <w:lang w:val="ro-MD"/>
              </w:rPr>
            </w:pPr>
          </w:p>
          <w:p w14:paraId="4AEB0188" w14:textId="77777777" w:rsidR="00F3660E" w:rsidRPr="00502787" w:rsidRDefault="00480C4A" w:rsidP="00502787">
            <w:pPr>
              <w:jc w:val="both"/>
              <w:rPr>
                <w:rFonts w:ascii="Times New Roman" w:hAnsi="Times New Roman" w:cs="Times New Roman"/>
                <w:i/>
                <w:sz w:val="20"/>
                <w:szCs w:val="20"/>
                <w:lang w:val="ro-MD"/>
              </w:rPr>
            </w:pPr>
            <w:r w:rsidRPr="00502787">
              <w:rPr>
                <w:rFonts w:ascii="Times New Roman" w:hAnsi="Times New Roman" w:cs="Times New Roman"/>
                <w:i/>
                <w:iCs/>
                <w:sz w:val="20"/>
                <w:szCs w:val="20"/>
                <w:lang w:val="ro-MD"/>
              </w:rPr>
              <w:t xml:space="preserve">Comentariu: Informația privind proprietatea publică este deja digitalizată și SIA RPP este pus în aplicare. La </w:t>
            </w:r>
            <w:r w:rsidRPr="00502787">
              <w:rPr>
                <w:rFonts w:ascii="Times New Roman" w:hAnsi="Times New Roman" w:cs="Times New Roman"/>
                <w:i/>
                <w:iCs/>
                <w:sz w:val="20"/>
                <w:szCs w:val="20"/>
                <w:lang w:val="ro-MD"/>
              </w:rPr>
              <w:lastRenderedPageBreak/>
              <w:t>moment, APP lucrează la perfecționarea acestui sistem informațional.</w:t>
            </w:r>
          </w:p>
        </w:tc>
      </w:tr>
      <w:tr w:rsidR="0024020C" w:rsidRPr="00502787" w14:paraId="21C47DC2" w14:textId="77777777">
        <w:trPr>
          <w:trHeight w:val="562"/>
        </w:trPr>
        <w:tc>
          <w:tcPr>
            <w:tcW w:w="556" w:type="dxa"/>
            <w:vMerge w:val="restart"/>
          </w:tcPr>
          <w:p w14:paraId="76ACD4B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5F6A366B"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08B6861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4: Capitalul social</w:t>
            </w:r>
          </w:p>
          <w:p w14:paraId="5D438E7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2.5. Textul propus: Furnizarea de servicii de îngrijire a copiilor în sectorul public și privat este consolidată, prin crearea și extinderea serviciilor publice de creșă, cu finanțare din alte surse decât bugetele locale, precum și prin subvenționarea cheltuielilor părinților pentru serviciile creșelor private acolo unde nu sunt disponibile cele publice. Numărul de locuri de îngrijire a copiilor urmează să crească cu 5.000 față de 2024.</w:t>
            </w:r>
          </w:p>
        </w:tc>
        <w:tc>
          <w:tcPr>
            <w:tcW w:w="4819" w:type="dxa"/>
            <w:vMerge w:val="restart"/>
          </w:tcPr>
          <w:p w14:paraId="03BDC1E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Muncii și Protecției sociale </w:t>
            </w:r>
          </w:p>
        </w:tc>
      </w:tr>
      <w:tr w:rsidR="0024020C" w:rsidRPr="00502787" w14:paraId="4975C4EE" w14:textId="77777777">
        <w:trPr>
          <w:trHeight w:val="562"/>
        </w:trPr>
        <w:tc>
          <w:tcPr>
            <w:tcW w:w="556" w:type="dxa"/>
            <w:vMerge w:val="restart"/>
          </w:tcPr>
          <w:p w14:paraId="0A192FDB"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34D96C4"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529D852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4: Capitalul social</w:t>
            </w:r>
          </w:p>
          <w:p w14:paraId="000988C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Recomandări adiționale</w:t>
            </w:r>
          </w:p>
          <w:p w14:paraId="08D1FF5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Creșterea finanțării pentru programele guvernamentale ce au drept scop recalificarea și perfecționarea șomerilor, care ar majora productivitatea muncii și capacitatea lucrătorilor de a se adapta la condițiile economice și tehnologice în schimbare;</w:t>
            </w:r>
          </w:p>
          <w:p w14:paraId="7B3D381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Deductibilitatea fiscală a cheltuielilor de instruire suportate de sine stătător de persoanele fizice (actualmente se permite deducerea cheltuielilor suportate de angajator pentru perfecţionarea salariaţilor, cu anumite condiții și limite).</w:t>
            </w:r>
          </w:p>
          <w:p w14:paraId="769CEA0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Obligativitatea funcționării grupelor cu program prelungit în instituțiile publice de învățământ primar în toate localitățile din țară (nu la discreția APL-urilor). Actualmente, Regulamentul de organizare și funcționare a claselor / grupelor cu program prelungit prevede că autoritățile APL, de comun acord cu instituția de învățământ, pot decide organizarea claselor/grupelor cu program prelungit. Drept rezultat, APL-urile, de regulă, decid să nu deschidă astfel de grupe.</w:t>
            </w:r>
          </w:p>
          <w:p w14:paraId="7CCA7D3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În afară de îngrijirea copiilor, femeile tind să efectueze cea mai mare parte a muncii de îngrijire a vârstnicilor. Această povară va crește pe viitor, ținând cont de tendințele de îmbătrânire a populației, și va afecta negativ participarea femeilor pe piața muncii. În acest sens, este necesară și dezvoltarea serviciilor formale de îngrijire a vârstnicilor: aziluri (inclusiv private), servicii de îngrijire socială la domiciliu (inclusiv contra cost).</w:t>
            </w:r>
          </w:p>
          <w:p w14:paraId="7F33424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Salariul minim. Trebuie de finalizată adoptarea cadrului legal necesar în vederea transpunerii și implementării Directivei UE 2022/2041 privind salariile minime adecvate în Uniunea Europeană. Conform Directivei, salariile minime legale trebuie să depășească 60% din salariul median brut sau 50% din salariul mediu brut. Pentru Moldova, aceasta ar însemna un salariu minim de 7,512 de lei lunar (conform situației din T4:24). În realitate, începând cu 1 ianuarie 2025, salariul minim constituie 5,500 de lei (deci numai 37% din salariul mediu). Legătura cu creșterea economică: să nu fie avantajate întreprinderile care declară salarii minime mici și restul îl achită în plic, comparativ cu întreprinderile care lucrează „pe alb”. Concurența trebuie să se bazeze pe creșterea calității și optimizarea </w:t>
            </w:r>
            <w:r w:rsidRPr="00502787">
              <w:rPr>
                <w:rFonts w:ascii="Times New Roman" w:eastAsiaTheme="minorEastAsia" w:hAnsi="Times New Roman" w:cs="Times New Roman"/>
                <w:sz w:val="20"/>
                <w:szCs w:val="20"/>
                <w:lang w:val="ro-MD"/>
              </w:rPr>
              <w:lastRenderedPageBreak/>
              <w:t>veritabilă a cheltuielilor, nu pe reducerea cheltuielilor prin fraudă. Să supraviețuiască cel eficient, nu cel care încalcă legea.</w:t>
            </w:r>
          </w:p>
          <w:p w14:paraId="6C82BC1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Aprobarea mecanismului automatizat de subvenționarea a creșterii salariale. În 2022 a fost propus un proiect de lege care prevede subvenționarea timp de 2 ani a creșterilor salariale mai mari de 50%. Pentru angajator: rambursarea contribuției angajatorului la fondul social aferent majorării salariale operate; pentru angajat: scutirea de la plata contribuției la Fondul de Asigurare Obligatorie de Asistență Medicală aferentă majorării salariale operate. Scopul:</w:t>
            </w:r>
          </w:p>
          <w:p w14:paraId="6E779D6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formalizarea muncii subdeclarate și motivarea suplimentară a angajaților pentru creșterea productivității.</w:t>
            </w:r>
          </w:p>
        </w:tc>
        <w:tc>
          <w:tcPr>
            <w:tcW w:w="4819" w:type="dxa"/>
            <w:vMerge w:val="restart"/>
          </w:tcPr>
          <w:p w14:paraId="7DDE051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Muncii și Protecției sociale </w:t>
            </w:r>
          </w:p>
        </w:tc>
      </w:tr>
      <w:tr w:rsidR="0024020C" w:rsidRPr="00502787" w14:paraId="0C4D4AD8" w14:textId="77777777">
        <w:trPr>
          <w:trHeight w:val="1068"/>
        </w:trPr>
        <w:tc>
          <w:tcPr>
            <w:tcW w:w="556" w:type="dxa"/>
            <w:vMerge w:val="restart"/>
          </w:tcPr>
          <w:p w14:paraId="4610B14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8.</w:t>
            </w:r>
          </w:p>
        </w:tc>
        <w:tc>
          <w:tcPr>
            <w:tcW w:w="2278" w:type="dxa"/>
            <w:vMerge w:val="restart"/>
          </w:tcPr>
          <w:p w14:paraId="6A02C867" w14:textId="77777777" w:rsidR="000913F8"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Guo Min Bruce, Executive Director, ICS Huawei Technologies SRL</w:t>
            </w:r>
            <w:r w:rsidR="000913F8">
              <w:rPr>
                <w:rFonts w:ascii="Times New Roman" w:hAnsi="Times New Roman" w:cs="Times New Roman"/>
                <w:sz w:val="20"/>
                <w:szCs w:val="20"/>
                <w:lang w:val="ro-MD"/>
              </w:rPr>
              <w:t xml:space="preserve"> </w:t>
            </w:r>
          </w:p>
          <w:p w14:paraId="096CFFCE" w14:textId="07CF165A" w:rsidR="00F3660E" w:rsidRPr="00502787" w:rsidRDefault="000913F8" w:rsidP="00502787">
            <w:pPr>
              <w:jc w:val="both"/>
              <w:rPr>
                <w:rFonts w:ascii="Times New Roman" w:hAnsi="Times New Roman" w:cs="Times New Roman"/>
                <w:sz w:val="20"/>
                <w:szCs w:val="20"/>
                <w:lang w:val="ro-MD"/>
              </w:rPr>
            </w:pPr>
            <w:r w:rsidRPr="000913F8">
              <w:rPr>
                <w:rFonts w:ascii="Times New Roman" w:hAnsi="Times New Roman" w:cs="Times New Roman"/>
                <w:i/>
                <w:sz w:val="20"/>
                <w:szCs w:val="20"/>
                <w:lang w:val="ro-MD"/>
              </w:rPr>
              <w:t>(propunere parvenită la data de 29.03.2025 parvenită prin intermediul poștei elctronice)</w:t>
            </w:r>
          </w:p>
        </w:tc>
        <w:tc>
          <w:tcPr>
            <w:tcW w:w="6661" w:type="dxa"/>
            <w:vMerge w:val="restart"/>
          </w:tcPr>
          <w:p w14:paraId="359E389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11EE8A0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Măsura 1.1. rubrica ”</w:t>
            </w:r>
            <w:r w:rsidRPr="00502787">
              <w:rPr>
                <w:rFonts w:ascii="Times New Roman" w:hAnsi="Times New Roman" w:cs="Times New Roman"/>
                <w:sz w:val="20"/>
                <w:szCs w:val="20"/>
                <w:lang w:val="ro-MD"/>
              </w:rPr>
              <w:t xml:space="preserve">Condiția de plată și termenul de punere în aplicare”: </w:t>
            </w:r>
            <w:r w:rsidRPr="00502787">
              <w:rPr>
                <w:rFonts w:ascii="Times New Roman" w:eastAsiaTheme="minorEastAsia" w:hAnsi="Times New Roman" w:cs="Times New Roman"/>
                <w:sz w:val="20"/>
                <w:szCs w:val="20"/>
                <w:lang w:val="ro-MD"/>
              </w:rPr>
              <w:t xml:space="preserve">propunem includerea următorului text: </w:t>
            </w:r>
            <w:r w:rsidRPr="00502787">
              <w:rPr>
                <w:rFonts w:ascii="Times New Roman" w:hAnsi="Times New Roman" w:cs="Times New Roman"/>
                <w:sz w:val="20"/>
                <w:szCs w:val="20"/>
                <w:lang w:val="ro-MD"/>
              </w:rPr>
              <w:t>Pentru îmbunătățirea continuă a competitivității mediului de afaceri din Moldova și atragerea eficientă a investițiilor străine, este esențial să se ofere tuturor investitorilor străini un mediu de afaceri echitabil și nediscriminatoriu, pentru a încuraja investițiile din partea întreprinderilor și capitalului străin.</w:t>
            </w:r>
          </w:p>
          <w:p w14:paraId="0732ABE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rubrica ”Descrierea și definirea clară a ceea ce presupune fiecare etapă” propunem includerea următorului text: Procesul de evaluare a impactului reglementărilor: Definirea clară a standardelor și metodelor de evaluare și îmbunătățirea transparenței și previzibilității, asigurându-se că părțile interesate relevante sunt pe deplin informate și implicate pe scară largă, inclusiv evaluări ale beneficiilor economice, beneficiilor sociale și riscurilor potențiale, pentru a asigura că măsurile de relaxare a reglementărilor sunt avansate pe baza datelor obiective.</w:t>
            </w:r>
          </w:p>
          <w:p w14:paraId="3DF88F1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0396094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Orice politică sau cerință care ar putea limita concurența sau afecta procesul de digitalizare și îmbunătățire a competitivității Moldovei trebuie să treacă prin discuții ample între ministerele relevante, organizațiile din industrie și părțile interesate, pentru a evita crearea de noi monopoluri și bariere din cauza acțiunilor administrative.</w:t>
            </w:r>
          </w:p>
        </w:tc>
        <w:tc>
          <w:tcPr>
            <w:tcW w:w="4819" w:type="dxa"/>
            <w:vMerge w:val="restart"/>
          </w:tcPr>
          <w:p w14:paraId="2DED8FF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0DB843DC" w14:textId="77777777" w:rsidR="00F3660E" w:rsidRPr="00502787" w:rsidRDefault="00F3660E" w:rsidP="00502787">
            <w:pPr>
              <w:jc w:val="both"/>
              <w:rPr>
                <w:rFonts w:ascii="Times New Roman" w:hAnsi="Times New Roman" w:cs="Times New Roman"/>
                <w:sz w:val="20"/>
                <w:szCs w:val="20"/>
                <w:lang w:val="ro-MD"/>
              </w:rPr>
            </w:pPr>
          </w:p>
          <w:p w14:paraId="710FF595"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28CDDD3B" w14:textId="77777777">
        <w:trPr>
          <w:trHeight w:val="562"/>
        </w:trPr>
        <w:tc>
          <w:tcPr>
            <w:tcW w:w="556" w:type="dxa"/>
            <w:vMerge w:val="restart"/>
          </w:tcPr>
          <w:p w14:paraId="0C3D01B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B7844CB"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FF3DBC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Pilonul 2 </w:t>
            </w:r>
            <w:r w:rsidRPr="00502787">
              <w:rPr>
                <w:rFonts w:ascii="Times New Roman" w:hAnsi="Times New Roman" w:cs="Times New Roman"/>
                <w:sz w:val="20"/>
                <w:szCs w:val="20"/>
                <w:lang w:val="ro-MD"/>
              </w:rPr>
              <w:t>Conectivitate și infrastructură digitală</w:t>
            </w:r>
          </w:p>
          <w:p w14:paraId="7942B4A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Măsura 3.9. la </w:t>
            </w:r>
            <w:r w:rsidRPr="00502787">
              <w:rPr>
                <w:rFonts w:ascii="Times New Roman" w:eastAsiaTheme="minorEastAsia" w:hAnsi="Times New Roman" w:cs="Times New Roman"/>
                <w:sz w:val="20"/>
                <w:szCs w:val="20"/>
                <w:lang w:val="ro-MD"/>
              </w:rPr>
              <w:t>rubrica ”</w:t>
            </w:r>
            <w:r w:rsidRPr="00502787">
              <w:rPr>
                <w:rFonts w:ascii="Times New Roman" w:hAnsi="Times New Roman" w:cs="Times New Roman"/>
                <w:sz w:val="20"/>
                <w:szCs w:val="20"/>
                <w:lang w:val="ro-MD"/>
              </w:rPr>
              <w:t>Condiția de plată și termenul de punere în aplicare” propunem reformularea cu următorul text: Moldova îmbunătățește reziliența rețelelor prin trimiterea la măsurile cheie din 5G Toolbox al UE, printre care: adoptarea măsurilor tehnice și non-tehnice adecvate pentru  gestionarea riscurilor majore de securitate a rețelei; evaluarea nivelurilor de risc ale furnizorilor pe baza unor standarde tehnice echitabile și măsurabile; și trimiterea la standardele pentru elementele cheie ale rețelei din 5G Toolbox al UE pentru a evalua riscurile și impactul diferitelor elemente ale rețelei, evaluându-le nivelurile de risc și implementând măsuri de control cu abordări stratificate și pe niveluri.</w:t>
            </w:r>
          </w:p>
          <w:p w14:paraId="0F18A12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rubrica ”Descrierea și definirea clară a ceea ce presupune fiecare etapă” propunem reformularea: Această măsură include următoarele etape esențiale:</w:t>
            </w:r>
          </w:p>
          <w:p w14:paraId="3EEB9AE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Pe baza cadrului juridic național existent în materia de securitate cibernetică, se va revizui actuala lege privind comunicațiile electronice, făcând referire la 5G Toolbox al UE pentru a adapta cerințele de securitate cibernetică ale Moldovei. Se va asigura că legea revizuită privind comunicațiile electronice va defini clar standardele tehnice aplicabile, mecanismele de evaluare a riscurilor, principiile de gestionare a furnizorilor etc. </w:t>
            </w:r>
          </w:p>
          <w:p w14:paraId="6FA2772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MD și autoritatea națională de reglementare în domeniul telecomunicațiilor, ecosistemul industrial și UE se vor consulta și, pe baza recomandărilor din 5G Toolbox, vor identifica scenarii specifice care afectează securitatea rețelei naționale. Vor fi formulate măsuri de control pentru diferite scenarii de risc. </w:t>
            </w:r>
          </w:p>
          <w:p w14:paraId="46C2920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MD, autoritățile de reglementare și operatorii colaborează pentru a elabora standarde tehnice și cerințe de securitate echitabile, nediscriminatorii și măsurabile,  pentru a evalua riscurile tuturor furnizorilor și pentru a elabora măsuri de control pe baza diferitelor nivele de risc ale furnizorilor. </w:t>
            </w:r>
          </w:p>
          <w:p w14:paraId="3167DA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Furnizorii vor defini nivelele de risc pentru diferite elemente ale rețelei, pe baza standardelor de evaluare a elementelor cheie ale rețelei din 5G Toolbox al UE, practicilor excelente din alte țări ale UE și recomandărilor din partea GSMA și altor organizații din industrie. Vor fi aplicate măsuri diferențiate de management tehnic și non-tehnic pentru elementele de rețea pe baza nivelelor lor de risc. </w:t>
            </w:r>
          </w:p>
          <w:p w14:paraId="783DD08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Pentru elementele de rețea evaluate ca fiind critice, dacă MD implementează măsuri necesare de restricție/excludere a furnizorilor cu risc ridicat, trebuie să se asigure că ministerele relevante, autoritățile de reglementare și părțile interesate sunt implicate. Trebuie luat în considerare impactul potențial al acestor restricții/excluderi asupra procesului de digitalizare al Moldovei, competitivității pieței și economiei. Trebuie negociate perioade suficiente de tranziție cu operatorii și trebuie abordate costurile potențiale.</w:t>
            </w:r>
          </w:p>
          <w:p w14:paraId="7676B505" w14:textId="77777777" w:rsidR="00F3660E" w:rsidRPr="00502787" w:rsidRDefault="00F3660E" w:rsidP="00502787">
            <w:pPr>
              <w:jc w:val="both"/>
              <w:rPr>
                <w:rFonts w:ascii="Times New Roman" w:hAnsi="Times New Roman" w:cs="Times New Roman"/>
                <w:sz w:val="20"/>
                <w:szCs w:val="20"/>
                <w:lang w:val="ro-MD"/>
              </w:rPr>
            </w:pPr>
          </w:p>
        </w:tc>
        <w:tc>
          <w:tcPr>
            <w:tcW w:w="4819" w:type="dxa"/>
            <w:vMerge w:val="restart"/>
          </w:tcPr>
          <w:p w14:paraId="430B6E2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r w:rsidRPr="00502787">
              <w:rPr>
                <w:rFonts w:ascii="Times New Roman" w:eastAsiaTheme="minorEastAsia" w:hAnsi="Times New Roman" w:cs="Times New Roman"/>
                <w:sz w:val="20"/>
                <w:szCs w:val="20"/>
                <w:lang w:val="ro-MD"/>
              </w:rPr>
              <w:t xml:space="preserve">Alinierea la reglementarea UE privind Setul de instrumente pentru securitate cibernetică 5G, un set de măsuri legislative și tehnice menite să asigure rețele 5G sigure și rezistente în UE, este prevăzută în proiectul PNA 2025-2029. Această aliniere este esențială pentru Moldova pentru a proteja securitatea națională și a se integra mai eficient în piața unică digitală a UE. </w:t>
            </w:r>
          </w:p>
          <w:p w14:paraId="288D0F2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 17.03.25 a fost semnat Acordul de Grant în sumă de 470 mii Euro dintre MDED și Swedfund International AB privind serviciile de consultanță pentru implementarea setului de instrumente al UE pentru securitatea 5G.</w:t>
            </w:r>
          </w:p>
          <w:p w14:paraId="468B2E3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Astfel, urmează a fi contractată compania de consultanță de talie internațională pentru următoarele:</w:t>
            </w:r>
          </w:p>
          <w:p w14:paraId="64791F7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Prezentarea cazurilor de succes și provocărilor din implementările naționale în țările UE și din afara UE. </w:t>
            </w:r>
          </w:p>
          <w:p w14:paraId="15B9F60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politicii naționale actuale și aspectele legale legate de securitate și încredere în implementarea 5G. </w:t>
            </w:r>
          </w:p>
          <w:p w14:paraId="1A1F0D9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O evaluare națională cuprinzătoare a riscurilor furnizorilor, în conformitate cu recomandările EU 5G Toolbox. </w:t>
            </w:r>
          </w:p>
          <w:p w14:paraId="3458CDB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măsurilor de securitate cibernetică existente. </w:t>
            </w:r>
          </w:p>
          <w:p w14:paraId="4DD8D55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costurilor estimative pentru operatori de implementare a Setului de instrumente 5G. </w:t>
            </w:r>
          </w:p>
          <w:p w14:paraId="127D987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Propunerea unui mecanism de compensare pentru operatori care să stimuleze conformitatea cu Setul de instrumente 5G al UE și cu măsurile de atenuare recomandate. </w:t>
            </w:r>
          </w:p>
          <w:p w14:paraId="774DEA1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Propunerea unui plan de implementare pentru Setul de instrumente 5G UE, pentru diferite scenarii (perioade de tranziție etc.). </w:t>
            </w:r>
          </w:p>
          <w:p w14:paraId="031B23D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Elaborarea unui proiect de lege pentru alinierea cu instrumentele UE 5G. </w:t>
            </w:r>
          </w:p>
          <w:p w14:paraId="4339D54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Cartografierea sprijinului financiar existent și potențial al UE, disponibil pentru lansarea 5G</w:t>
            </w:r>
          </w:p>
          <w:p w14:paraId="1CB7E22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Astfel, implementarea cerințelor Setului de instrumente 5G UE urmează să fie prevăzută în actul național de aliniere în 2027, cu o perioadă de conformare/de tranziție care urmează a fi stabilită urmare studiului menționat cu suportul SWEDFUND, dar și măsurile compensatorii pentru operatori pentru conformare și substituire echipamente de la furnizori cu risc înalt de securitate.</w:t>
            </w:r>
          </w:p>
          <w:p w14:paraId="556BEF72"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055AF60A" w14:textId="77777777">
        <w:trPr>
          <w:trHeight w:val="537"/>
        </w:trPr>
        <w:tc>
          <w:tcPr>
            <w:tcW w:w="556" w:type="dxa"/>
            <w:vMerge w:val="restart"/>
          </w:tcPr>
          <w:p w14:paraId="7CACDAB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9.</w:t>
            </w:r>
          </w:p>
        </w:tc>
        <w:tc>
          <w:tcPr>
            <w:tcW w:w="2278" w:type="dxa"/>
            <w:vMerge w:val="restart"/>
          </w:tcPr>
          <w:p w14:paraId="0E4FF78D" w14:textId="3E50C856"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Oficiul Avocatului Poporului </w:t>
            </w:r>
            <w:r w:rsidR="00502787">
              <w:rPr>
                <w:rFonts w:ascii="Times New Roman" w:hAnsi="Times New Roman" w:cs="Times New Roman"/>
                <w:sz w:val="20"/>
                <w:szCs w:val="20"/>
                <w:lang w:val="ro-MD"/>
              </w:rPr>
              <w:t xml:space="preserve"> </w:t>
            </w:r>
            <w:r w:rsidR="00502787" w:rsidRPr="00502787">
              <w:rPr>
                <w:rFonts w:ascii="Times New Roman" w:hAnsi="Times New Roman" w:cs="Times New Roman"/>
                <w:sz w:val="20"/>
                <w:szCs w:val="20"/>
                <w:lang w:val="ro-MD"/>
              </w:rPr>
              <w:t>(</w:t>
            </w:r>
            <w:r w:rsidR="00502787" w:rsidRPr="00502787">
              <w:rPr>
                <w:sz w:val="20"/>
                <w:szCs w:val="20"/>
              </w:rPr>
              <w:t>nr. 04-3/25-561 din 28.03.2025)</w:t>
            </w:r>
          </w:p>
        </w:tc>
        <w:tc>
          <w:tcPr>
            <w:tcW w:w="6661" w:type="dxa"/>
            <w:vMerge w:val="restart"/>
          </w:tcPr>
          <w:p w14:paraId="2CD897F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1 - Competitivitatea economică / Dezvoltarea sectorului privat</w:t>
            </w:r>
          </w:p>
          <w:p w14:paraId="0C49C97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acest subiect, proiectul prevede că “Agenda include inițiative orientate spre grupurile vulnerabile, abilitează femeile și consolidează instituțiile democratice prin reforme ale sectorului judiciar și anti-corupție, promovând accesul egal la justiție și protecția drepturilor.” Cu toate acestea, în partea ce vizează obiectivele concrete de creștere economică și dezvoltare din cuprins, observăm că real există un număr foarte restrâns de măsuri și inițiative concrete destinate pentru grupurile vulnerabile. Respectiv, se recomandă reglementarea unor obiective și măsuri suplimentare de abilitare economică menite să echilibreze oportunitățile pe piața muncii targetat pentru grupurile vulnerabile, astfel asigurîndu-se contribuția acestora la eforturile de creștere economică.</w:t>
            </w:r>
          </w:p>
          <w:p w14:paraId="05C3076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Măsuri orientate la consolidarea capacităților individuale pe dimensiunea dezvoltării și creșterii economice din perspectiva susținerii grupurilor vulnerabile pot viza în particular următoarele aspecte: 1. Sporirea accesibilității programelor de suport pentru grupurile vulnerabile; 2. Sporirea numărului de proiecte/programe care au beneficiari persoane din grupuri vulnerabile; 3. Creșterea treptată a numărului angajatorilor care antrenează în activitățile sale persoanele cu dizabilități; 4. Stimularea angajării reprezentanților grupurilor vulnerabile, stabilirea unor facilități pentru angajatorii care asigură angajarea persoanelor cu dizabilități, asigură ajustările rezonabile necesare; 5. Elaborarea și promovarea unor programe de nivel național privind stimularea persoanelor cu dizabilități în dezvoltarea propriilor afaceri (cu susținerea financiară la etapa inițială de lansare). În acest mod, se va asigura o incluziune mai largă a tuturor grupurilor sociale, contribuind astfel la accelerarea creșterii economice a Republicii Moldova.</w:t>
            </w:r>
          </w:p>
          <w:p w14:paraId="25FF5867" w14:textId="77777777" w:rsidR="00F3660E" w:rsidRPr="00502787" w:rsidRDefault="00F3660E" w:rsidP="00502787">
            <w:pPr>
              <w:jc w:val="both"/>
              <w:rPr>
                <w:rFonts w:ascii="Times New Roman" w:hAnsi="Times New Roman" w:cs="Times New Roman"/>
                <w:sz w:val="20"/>
                <w:szCs w:val="20"/>
                <w:lang w:val="ro-MD"/>
              </w:rPr>
            </w:pPr>
          </w:p>
          <w:p w14:paraId="4FEF2F6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II. În contextul dinamicii relațiilor economice și comerciale la nivel internațional, precum și a obiectivelor de creștere economică și progres tehnologic propuse de către Republica Moldova, se conturează necesitatea reglementării unor domenii noi, precum “Bussiness și drepturile omului”. Deși în mare parte o noutate pentru realitățile Republicii Moldova, corelația dintre activitatea de afaceri și drepturile omului reprezintă o problematic/tematică de actualitate la nivel internațional (în special din perspectiva principiului Due Dilligence).</w:t>
            </w:r>
          </w:p>
          <w:p w14:paraId="25FB316E" w14:textId="77777777" w:rsidR="00F3660E" w:rsidRPr="00502787" w:rsidRDefault="00F3660E" w:rsidP="00502787">
            <w:pPr>
              <w:jc w:val="both"/>
              <w:rPr>
                <w:rFonts w:ascii="Times New Roman" w:hAnsi="Times New Roman" w:cs="Times New Roman"/>
                <w:sz w:val="20"/>
                <w:szCs w:val="20"/>
                <w:lang w:val="ro-MD"/>
              </w:rPr>
            </w:pPr>
          </w:p>
          <w:p w14:paraId="30A411B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context, având în vedere că principalii beneficiari ai Pilonului I sunt reprezentanții mediului de afaceri, pentru susținerea cărora sunt planificate o serie de măsuri de suport financiar, informațional, de sporire a competitivității etc., considerăm judicios echilibrarea acestor beneficii prin stabilirea unor garanții privind asigurarea unei abordări bazate pe drepturile omului. </w:t>
            </w:r>
          </w:p>
          <w:p w14:paraId="214881A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 acest sens, propunem completarea Pilonului 1 cu subdomeniul “Afaceri și drepturile omului”, care să cuprindă măsuri destinate responsabilizării mediului de afaceri pe componenta respectării drepturilor omului. În condițiile în care Republica Moldova va beneficia de un ajutor financiar colosal pentru dezvoltarea sa economică, existența unor acțiuni ce ar impune o conduită responsabilă mediului de afaceri devine un imperativ.</w:t>
            </w:r>
          </w:p>
        </w:tc>
        <w:tc>
          <w:tcPr>
            <w:tcW w:w="4819" w:type="dxa"/>
            <w:vMerge w:val="restart"/>
          </w:tcPr>
          <w:p w14:paraId="75A1E9C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Justiției</w:t>
            </w:r>
          </w:p>
          <w:p w14:paraId="5F91A35F" w14:textId="77777777" w:rsidR="00F3660E" w:rsidRPr="00502787" w:rsidRDefault="00F3660E" w:rsidP="00502787">
            <w:pPr>
              <w:jc w:val="both"/>
              <w:rPr>
                <w:rFonts w:ascii="Times New Roman" w:hAnsi="Times New Roman" w:cs="Times New Roman"/>
                <w:sz w:val="20"/>
                <w:szCs w:val="20"/>
                <w:lang w:val="ro-MD"/>
              </w:rPr>
            </w:pPr>
          </w:p>
          <w:p w14:paraId="713562ED" w14:textId="77777777" w:rsidR="00F3660E" w:rsidRPr="00502787" w:rsidRDefault="00F3660E" w:rsidP="00502787">
            <w:pPr>
              <w:jc w:val="both"/>
              <w:rPr>
                <w:rFonts w:ascii="Times New Roman" w:hAnsi="Times New Roman" w:cs="Times New Roman"/>
                <w:sz w:val="20"/>
                <w:szCs w:val="20"/>
                <w:lang w:val="ro-MD"/>
              </w:rPr>
            </w:pPr>
          </w:p>
          <w:p w14:paraId="28212220" w14:textId="77777777" w:rsidR="00F3660E" w:rsidRPr="00502787" w:rsidRDefault="00F3660E" w:rsidP="00502787">
            <w:pPr>
              <w:jc w:val="both"/>
              <w:rPr>
                <w:rFonts w:ascii="Times New Roman" w:hAnsi="Times New Roman" w:cs="Times New Roman"/>
                <w:sz w:val="20"/>
                <w:szCs w:val="20"/>
                <w:lang w:val="ro-MD"/>
              </w:rPr>
            </w:pPr>
          </w:p>
          <w:p w14:paraId="1A26DB34" w14:textId="77777777" w:rsidR="00F3660E" w:rsidRPr="00502787" w:rsidRDefault="00F3660E" w:rsidP="00502787">
            <w:pPr>
              <w:jc w:val="both"/>
              <w:rPr>
                <w:rFonts w:ascii="Times New Roman" w:hAnsi="Times New Roman" w:cs="Times New Roman"/>
                <w:sz w:val="20"/>
                <w:szCs w:val="20"/>
                <w:lang w:val="ro-MD"/>
              </w:rPr>
            </w:pPr>
          </w:p>
          <w:p w14:paraId="5FB4087F" w14:textId="77777777" w:rsidR="00F3660E" w:rsidRPr="00502787" w:rsidRDefault="00F3660E" w:rsidP="00502787">
            <w:pPr>
              <w:jc w:val="both"/>
              <w:rPr>
                <w:rFonts w:ascii="Times New Roman" w:hAnsi="Times New Roman" w:cs="Times New Roman"/>
                <w:sz w:val="20"/>
                <w:szCs w:val="20"/>
                <w:lang w:val="ro-MD"/>
              </w:rPr>
            </w:pPr>
          </w:p>
          <w:p w14:paraId="18B6C93B" w14:textId="77777777" w:rsidR="00F3660E" w:rsidRPr="00502787" w:rsidRDefault="00F3660E" w:rsidP="00502787">
            <w:pPr>
              <w:jc w:val="both"/>
              <w:rPr>
                <w:rFonts w:ascii="Times New Roman" w:hAnsi="Times New Roman" w:cs="Times New Roman"/>
                <w:sz w:val="20"/>
                <w:szCs w:val="20"/>
                <w:lang w:val="ro-MD"/>
              </w:rPr>
            </w:pPr>
          </w:p>
          <w:p w14:paraId="37528EC9" w14:textId="77777777" w:rsidR="00F3660E" w:rsidRPr="00502787" w:rsidRDefault="00F3660E" w:rsidP="00502787">
            <w:pPr>
              <w:jc w:val="both"/>
              <w:rPr>
                <w:rFonts w:ascii="Times New Roman" w:hAnsi="Times New Roman" w:cs="Times New Roman"/>
                <w:sz w:val="20"/>
                <w:szCs w:val="20"/>
                <w:lang w:val="ro-MD"/>
              </w:rPr>
            </w:pPr>
          </w:p>
          <w:p w14:paraId="753C914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2F9D5B7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Constantin Turcanu</w:t>
            </w:r>
          </w:p>
          <w:p w14:paraId="42CA604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Se acceptă. Includerea unei acțiuni dedicate:   „Elaborarea și implementarea unui Program de sprijin pentru </w:t>
            </w:r>
            <w:r w:rsidRPr="00502787">
              <w:rPr>
                <w:rFonts w:ascii="Times New Roman" w:hAnsi="Times New Roman" w:cs="Times New Roman"/>
                <w:sz w:val="20"/>
                <w:szCs w:val="20"/>
                <w:lang w:val="ro-MD"/>
              </w:rPr>
              <w:lastRenderedPageBreak/>
              <w:t>dezvoltarea întreprinderilor sociale și de inserție”, care țintesc și integrarea pe piața muncii a persoanelor vulnerabile. Iunie 2027</w:t>
            </w:r>
          </w:p>
          <w:p w14:paraId="68DBAC20" w14:textId="77777777" w:rsidR="00F3660E" w:rsidRPr="00502787" w:rsidRDefault="00F3660E" w:rsidP="00502787">
            <w:pPr>
              <w:jc w:val="both"/>
              <w:rPr>
                <w:rFonts w:ascii="Times New Roman" w:hAnsi="Times New Roman" w:cs="Times New Roman"/>
                <w:sz w:val="20"/>
                <w:szCs w:val="20"/>
                <w:lang w:val="ro-MD"/>
              </w:rPr>
            </w:pPr>
          </w:p>
          <w:p w14:paraId="4E6733E5" w14:textId="77777777" w:rsidR="00F3660E" w:rsidRPr="00502787" w:rsidRDefault="00F3660E" w:rsidP="00502787">
            <w:pPr>
              <w:jc w:val="both"/>
              <w:rPr>
                <w:rFonts w:ascii="Times New Roman" w:hAnsi="Times New Roman" w:cs="Times New Roman"/>
                <w:sz w:val="20"/>
                <w:szCs w:val="20"/>
                <w:lang w:val="ro-MD"/>
              </w:rPr>
            </w:pPr>
          </w:p>
          <w:p w14:paraId="683EC416" w14:textId="77777777" w:rsidR="00F3660E" w:rsidRPr="00502787" w:rsidRDefault="00F3660E" w:rsidP="00502787">
            <w:pPr>
              <w:jc w:val="both"/>
              <w:rPr>
                <w:rFonts w:ascii="Times New Roman" w:hAnsi="Times New Roman" w:cs="Times New Roman"/>
                <w:sz w:val="20"/>
                <w:szCs w:val="20"/>
                <w:lang w:val="ro-MD"/>
              </w:rPr>
            </w:pPr>
          </w:p>
          <w:p w14:paraId="4AF56F69" w14:textId="77777777" w:rsidR="00F3660E" w:rsidRPr="00502787" w:rsidRDefault="00F3660E" w:rsidP="00502787">
            <w:pPr>
              <w:jc w:val="both"/>
              <w:rPr>
                <w:rFonts w:ascii="Times New Roman" w:hAnsi="Times New Roman" w:cs="Times New Roman"/>
                <w:sz w:val="20"/>
                <w:szCs w:val="20"/>
                <w:lang w:val="ro-MD"/>
              </w:rPr>
            </w:pPr>
          </w:p>
          <w:p w14:paraId="44BFECCE" w14:textId="77777777" w:rsidR="00F3660E" w:rsidRPr="00502787" w:rsidRDefault="00F3660E" w:rsidP="00502787">
            <w:pPr>
              <w:jc w:val="both"/>
              <w:rPr>
                <w:rFonts w:ascii="Times New Roman" w:hAnsi="Times New Roman" w:cs="Times New Roman"/>
                <w:sz w:val="20"/>
                <w:szCs w:val="20"/>
                <w:lang w:val="ro-MD"/>
              </w:rPr>
            </w:pPr>
          </w:p>
          <w:p w14:paraId="11EC76A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Muncii și Protecției sociale </w:t>
            </w:r>
          </w:p>
          <w:p w14:paraId="378F9F28" w14:textId="77777777" w:rsidR="00F3660E" w:rsidRPr="00502787" w:rsidRDefault="00F3660E" w:rsidP="00502787">
            <w:pPr>
              <w:jc w:val="both"/>
              <w:rPr>
                <w:rFonts w:ascii="Times New Roman" w:hAnsi="Times New Roman" w:cs="Times New Roman"/>
                <w:sz w:val="20"/>
                <w:szCs w:val="20"/>
                <w:lang w:val="ro-MD"/>
              </w:rPr>
            </w:pPr>
          </w:p>
          <w:p w14:paraId="1BD9A2DE" w14:textId="77777777" w:rsidR="00F3660E" w:rsidRPr="00502787" w:rsidRDefault="00F3660E" w:rsidP="00502787">
            <w:pPr>
              <w:jc w:val="both"/>
              <w:rPr>
                <w:rFonts w:ascii="Times New Roman" w:hAnsi="Times New Roman" w:cs="Times New Roman"/>
                <w:sz w:val="20"/>
                <w:szCs w:val="20"/>
                <w:lang w:val="ro-MD"/>
              </w:rPr>
            </w:pPr>
          </w:p>
          <w:p w14:paraId="0749D041" w14:textId="77777777" w:rsidR="00F3660E" w:rsidRPr="00502787" w:rsidRDefault="00F3660E" w:rsidP="00502787">
            <w:pPr>
              <w:jc w:val="both"/>
              <w:rPr>
                <w:rFonts w:ascii="Times New Roman" w:hAnsi="Times New Roman" w:cs="Times New Roman"/>
                <w:sz w:val="20"/>
                <w:szCs w:val="20"/>
                <w:lang w:val="ro-MD"/>
              </w:rPr>
            </w:pPr>
          </w:p>
          <w:p w14:paraId="35C70A88" w14:textId="77777777" w:rsidR="00F3660E" w:rsidRPr="00502787" w:rsidRDefault="00F3660E" w:rsidP="00502787">
            <w:pPr>
              <w:jc w:val="both"/>
              <w:rPr>
                <w:rFonts w:ascii="Times New Roman" w:hAnsi="Times New Roman" w:cs="Times New Roman"/>
                <w:sz w:val="20"/>
                <w:szCs w:val="20"/>
                <w:lang w:val="ro-MD"/>
              </w:rPr>
            </w:pPr>
          </w:p>
          <w:p w14:paraId="2FEBD0BC" w14:textId="77777777" w:rsidR="00F3660E" w:rsidRPr="00502787" w:rsidRDefault="00F3660E" w:rsidP="00502787">
            <w:pPr>
              <w:jc w:val="both"/>
              <w:rPr>
                <w:rFonts w:ascii="Times New Roman" w:hAnsi="Times New Roman" w:cs="Times New Roman"/>
                <w:sz w:val="20"/>
                <w:szCs w:val="20"/>
                <w:lang w:val="ro-MD"/>
              </w:rPr>
            </w:pPr>
          </w:p>
          <w:p w14:paraId="04B38129" w14:textId="77777777" w:rsidR="00F3660E" w:rsidRPr="00502787" w:rsidRDefault="00F3660E" w:rsidP="00502787">
            <w:pPr>
              <w:jc w:val="both"/>
              <w:rPr>
                <w:rFonts w:ascii="Times New Roman" w:hAnsi="Times New Roman" w:cs="Times New Roman"/>
                <w:sz w:val="20"/>
                <w:szCs w:val="20"/>
                <w:lang w:val="ro-MD"/>
              </w:rPr>
            </w:pPr>
          </w:p>
          <w:p w14:paraId="756EB298" w14:textId="77777777" w:rsidR="00F3660E" w:rsidRPr="00502787" w:rsidRDefault="00F3660E" w:rsidP="00502787">
            <w:pPr>
              <w:jc w:val="both"/>
              <w:rPr>
                <w:rFonts w:ascii="Times New Roman" w:hAnsi="Times New Roman" w:cs="Times New Roman"/>
                <w:sz w:val="20"/>
                <w:szCs w:val="20"/>
                <w:lang w:val="ro-MD"/>
              </w:rPr>
            </w:pPr>
          </w:p>
          <w:p w14:paraId="32C673F8" w14:textId="77777777" w:rsidR="00F3660E" w:rsidRPr="00502787" w:rsidRDefault="00F3660E" w:rsidP="00502787">
            <w:pPr>
              <w:jc w:val="both"/>
              <w:rPr>
                <w:rFonts w:ascii="Times New Roman" w:hAnsi="Times New Roman" w:cs="Times New Roman"/>
                <w:sz w:val="20"/>
                <w:szCs w:val="20"/>
                <w:lang w:val="ro-MD"/>
              </w:rPr>
            </w:pPr>
          </w:p>
          <w:p w14:paraId="025BC997" w14:textId="77777777" w:rsidR="00F3660E" w:rsidRPr="00502787" w:rsidRDefault="00F3660E" w:rsidP="00502787">
            <w:pPr>
              <w:jc w:val="both"/>
              <w:rPr>
                <w:rFonts w:ascii="Times New Roman" w:hAnsi="Times New Roman" w:cs="Times New Roman"/>
                <w:sz w:val="20"/>
                <w:szCs w:val="20"/>
                <w:lang w:val="ro-MD"/>
              </w:rPr>
            </w:pPr>
          </w:p>
          <w:p w14:paraId="165146D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Dezvoltării Economice și Digitalizării (Constantin Turcanu, Natalia Iachimov)</w:t>
            </w:r>
          </w:p>
          <w:p w14:paraId="4716E37F" w14:textId="77777777" w:rsidR="00F3660E" w:rsidRPr="00502787" w:rsidRDefault="00F3660E" w:rsidP="00502787">
            <w:pPr>
              <w:jc w:val="both"/>
              <w:rPr>
                <w:rFonts w:ascii="Times New Roman" w:hAnsi="Times New Roman" w:cs="Times New Roman"/>
                <w:sz w:val="20"/>
                <w:szCs w:val="20"/>
                <w:lang w:val="ro-MD"/>
              </w:rPr>
            </w:pPr>
          </w:p>
          <w:p w14:paraId="54225D9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Dezvoltării Economice și Digitalizării recunoaște importanța corelării activităților economice cu respectarea drepturilor omului și planifică transpunerea Directivei (UE) 2024/1760 privind due diligence în domeniul sustenabilității corporative, conform angajamentelor asumate în Planul Național de Acțiune (PNA).</w:t>
            </w:r>
          </w:p>
          <w:p w14:paraId="456E7879" w14:textId="77777777" w:rsidR="00F3660E" w:rsidRPr="00502787" w:rsidRDefault="00F3660E" w:rsidP="00502787">
            <w:pPr>
              <w:jc w:val="both"/>
              <w:rPr>
                <w:rFonts w:ascii="Times New Roman" w:hAnsi="Times New Roman" w:cs="Times New Roman"/>
                <w:sz w:val="20"/>
                <w:szCs w:val="20"/>
                <w:lang w:val="ro-MD"/>
              </w:rPr>
            </w:pPr>
          </w:p>
          <w:p w14:paraId="3A10A062" w14:textId="77777777" w:rsidR="00F3660E" w:rsidRPr="00502787" w:rsidRDefault="00F3660E" w:rsidP="00502787">
            <w:pPr>
              <w:jc w:val="both"/>
              <w:rPr>
                <w:rFonts w:ascii="Times New Roman" w:hAnsi="Times New Roman" w:cs="Times New Roman"/>
                <w:sz w:val="20"/>
                <w:szCs w:val="20"/>
                <w:lang w:val="ro-MD"/>
              </w:rPr>
            </w:pPr>
          </w:p>
          <w:p w14:paraId="2AE5B50E" w14:textId="77777777" w:rsidR="00F3660E" w:rsidRPr="00502787" w:rsidRDefault="00F3660E" w:rsidP="00502787">
            <w:pPr>
              <w:jc w:val="both"/>
              <w:rPr>
                <w:rFonts w:ascii="Times New Roman" w:hAnsi="Times New Roman" w:cs="Times New Roman"/>
                <w:sz w:val="20"/>
                <w:szCs w:val="20"/>
                <w:lang w:val="ro-MD"/>
              </w:rPr>
            </w:pPr>
          </w:p>
          <w:p w14:paraId="495FB1AD" w14:textId="77777777" w:rsidR="00F3660E" w:rsidRPr="00502787" w:rsidRDefault="00F3660E" w:rsidP="00502787">
            <w:pPr>
              <w:jc w:val="both"/>
              <w:rPr>
                <w:rFonts w:ascii="Times New Roman" w:hAnsi="Times New Roman" w:cs="Times New Roman"/>
                <w:sz w:val="20"/>
                <w:szCs w:val="20"/>
                <w:lang w:val="ro-MD"/>
              </w:rPr>
            </w:pPr>
          </w:p>
          <w:p w14:paraId="6E2430FC" w14:textId="1399B03C" w:rsidR="00F3660E" w:rsidRPr="00502787" w:rsidRDefault="00F3660E" w:rsidP="00502787">
            <w:pPr>
              <w:jc w:val="both"/>
              <w:rPr>
                <w:rFonts w:ascii="Times New Roman" w:hAnsi="Times New Roman" w:cs="Times New Roman"/>
                <w:sz w:val="20"/>
                <w:szCs w:val="20"/>
                <w:lang w:val="ro-MD"/>
              </w:rPr>
            </w:pPr>
          </w:p>
          <w:p w14:paraId="7D78261C"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0EFA66E7" w14:textId="77777777">
        <w:trPr>
          <w:trHeight w:val="562"/>
        </w:trPr>
        <w:tc>
          <w:tcPr>
            <w:tcW w:w="556" w:type="dxa"/>
            <w:vMerge w:val="restart"/>
          </w:tcPr>
          <w:p w14:paraId="0D9D8679"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F3C8335"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F826B6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3 - Guvernanța economică, Subdomeniul 3.3: Reforma administrației publice</w:t>
            </w:r>
          </w:p>
          <w:p w14:paraId="495E746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Obiectivele de creștere și dezvoltare care sunt vizate de Plan (inclusiv în coroborare cu aspectele reglementate la Pilonul 7 pe palierul de drepturi fundamentale), nu pot fi asigurate deplin în lipsa unor măsuri de suport privind sporirea capacităților naționale și instituționale pe domeniul drepturilor fundamentale. În contextul obiectivelor privind reforma administrației publice, considerăm judicios stabilirea priorităților privind consolidarea Oficiului Avocatului Poporului, prin asigurarea funcționalității materiale și financiare. </w:t>
            </w:r>
            <w:r w:rsidRPr="00502787">
              <w:rPr>
                <w:rFonts w:ascii="Times New Roman" w:hAnsi="Times New Roman" w:cs="Times New Roman"/>
                <w:sz w:val="20"/>
                <w:szCs w:val="20"/>
                <w:lang w:val="ro-MD"/>
              </w:rPr>
              <w:lastRenderedPageBreak/>
              <w:t>Măsurile suplimentare vizate au la bază recomandările Comisiei de la Veneția 2 , 3 și vizează consolidarea capacităților funcționale ale instituției în calitate de autoritate strategică în sistemul de monitorizări, verificări și identificare de riscuri (în sensul de check and balances), asigurarea independenței financiare și a remunerației echitabile a angajaților, de natură să sporească implicarea și eficiența activității pe domeniul de responsabilitate.</w:t>
            </w:r>
          </w:p>
        </w:tc>
        <w:tc>
          <w:tcPr>
            <w:tcW w:w="4819" w:type="dxa"/>
            <w:vMerge w:val="restart"/>
          </w:tcPr>
          <w:p w14:paraId="47A5741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Cancelaria de stat</w:t>
            </w:r>
          </w:p>
          <w:p w14:paraId="316408F9" w14:textId="77777777" w:rsidR="00F3660E" w:rsidRPr="00502787" w:rsidRDefault="00F3660E" w:rsidP="00502787">
            <w:pPr>
              <w:jc w:val="both"/>
              <w:rPr>
                <w:rFonts w:ascii="Times New Roman" w:hAnsi="Times New Roman" w:cs="Times New Roman"/>
                <w:sz w:val="20"/>
                <w:szCs w:val="20"/>
                <w:lang w:val="ro-MD"/>
              </w:rPr>
            </w:pPr>
          </w:p>
          <w:p w14:paraId="65B9182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Foaia de parcurs pentru reforma administrației publice include deja acțiuni specifice menite să consolideze capacitățile Oficiului Avocatului Poporului (OAP) pentru a-și îndeplini rolul de instituție națională de protecție a drepturilor fundamentale, după cum urmează „Alocarea în mod corespunzător a necesarului de personal, bazat pe natura, volumul și complexitatea funcțiilor, atribuțiilor și </w:t>
            </w:r>
            <w:r w:rsidRPr="00502787">
              <w:rPr>
                <w:rFonts w:ascii="Times New Roman" w:hAnsi="Times New Roman" w:cs="Times New Roman"/>
                <w:sz w:val="20"/>
                <w:szCs w:val="20"/>
                <w:lang w:val="ro-MD"/>
              </w:rPr>
              <w:lastRenderedPageBreak/>
              <w:t xml:space="preserve">competențelor stabilite în domeniul monitorizării, supravegherii și controlului autorităților și instituțiilor publice”. Această acțiune va contribui la consolidarea capacității instituționale a OAP de a-și îndeplini eficient mandatul. </w:t>
            </w:r>
          </w:p>
          <w:p w14:paraId="08DFF53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Totodată, o altă acțiune presupune „Fortificarea capacităților de monitorizare și control ale recomandărilor prin dezvoltarea Sistemului informatic automatizat e-ombudsman”. Acest sistem va spori eficiența activității OAP și va facilita monitorizarea implementării recomandărilor sale, asigurând astfel un control mai riguros asupra respectării drepturilor fundamentale.</w:t>
            </w:r>
          </w:p>
          <w:p w14:paraId="12CE4A05"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1AED3B50" w14:textId="77777777">
        <w:trPr>
          <w:trHeight w:val="562"/>
        </w:trPr>
        <w:tc>
          <w:tcPr>
            <w:tcW w:w="556" w:type="dxa"/>
            <w:vMerge w:val="restart"/>
          </w:tcPr>
          <w:p w14:paraId="374A7187"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3DF21811"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0B921DB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4 - Capitalul social</w:t>
            </w:r>
          </w:p>
          <w:p w14:paraId="7F8AD1A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context, din perspectiva obiectivului strategic privind accelerarea creșterii economice a Republicii Moldova, promovării unei incluziuni mai largi a tuturor grupurilor sociale, considerăm oportun instituirea unor măsuri suplimentare, orientate preponderent la grupurile vulnerabile, de natură să sporească gradul de participare economică și să contribuie la dezvoltarea economică a statului. </w:t>
            </w:r>
          </w:p>
          <w:p w14:paraId="0B996A7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Instituirea unor măsuri pe domeniul de educație și ocupare a forței de muncă targetat la grupurile vulnerabile și persoanele cu dizabilități are la bază principiul de promovare a recunoaşterii deprinderilor, meritelor și abilităţilor persoanelor din aceste categorii, şi a contribuţiei acestora la locul de muncă şi pe piaţa forţei de muncă, în conformitate cu standardele internaționale. Subsecvent, aceste măsuri sunt de natură să sporească independența financiar-economică a reprezentanților din grupurile vulnerabile, devenind astfel “furnizori” la creșterea economică și progresul tehnologic al Republicii Moldova. </w:t>
            </w:r>
          </w:p>
          <w:p w14:paraId="1795B0F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Subdomeniul 1. – Educație: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Efectuarea unei evaluări cuprinzătoare a nevoilor și a posibilităților instituțiilor de învățământ profesional-tehnic (inclusiv a accesibilității pentru persoanele cu dizabilități și pentru persoanele din alte grupuri vulnerabile și a accesibilității pentru persoanele din zonele rurale) în vederea evaluării și adaptării funcționării acestora la nevoile persoanelor din grupurile vulnerabile, inclusiv la nevoile persoanelor cu dizabilități.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Realizarea cercetărilor cuprinzătoare privind piața forței de muncă pentru a identifica provocările și a adapta programele de educație și formare profesională la nevoile pieței muncii, cu scopul de a elimina discrepanța dintre cererea și oferta de forță de muncă;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Susținerea programelor de instruire specială și facilitarea programelor de însușire a alfabetului Braille, a scrisului alternativ, a metodelor augmentative şi alternative, a mijloacelor şi formatelor de comunicare şi a aptitudinilor de orientare şi mobilitate, precum şi facilitarea susţinerii şi a îndrumării semenilor.</w:t>
            </w:r>
          </w:p>
        </w:tc>
        <w:tc>
          <w:tcPr>
            <w:tcW w:w="4819" w:type="dxa"/>
            <w:vMerge w:val="restart"/>
          </w:tcPr>
          <w:p w14:paraId="64B1EE5B" w14:textId="77777777" w:rsidR="00F3660E" w:rsidRPr="00502787" w:rsidRDefault="00F3660E" w:rsidP="00502787">
            <w:pPr>
              <w:jc w:val="both"/>
              <w:rPr>
                <w:rFonts w:ascii="Times New Roman" w:hAnsi="Times New Roman" w:cs="Times New Roman"/>
                <w:sz w:val="20"/>
                <w:szCs w:val="20"/>
                <w:lang w:val="ro-MD"/>
              </w:rPr>
            </w:pPr>
          </w:p>
          <w:p w14:paraId="19120CF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Muncii și Protecției Sociale</w:t>
            </w:r>
          </w:p>
          <w:p w14:paraId="64888638" w14:textId="77777777" w:rsidR="00F3660E" w:rsidRPr="00502787" w:rsidRDefault="00F3660E" w:rsidP="00502787">
            <w:pPr>
              <w:jc w:val="both"/>
              <w:rPr>
                <w:rFonts w:ascii="Times New Roman" w:hAnsi="Times New Roman" w:cs="Times New Roman"/>
                <w:sz w:val="20"/>
                <w:szCs w:val="20"/>
                <w:lang w:val="ro-MD"/>
              </w:rPr>
            </w:pPr>
          </w:p>
          <w:p w14:paraId="64920369" w14:textId="77777777" w:rsidR="00F3660E" w:rsidRPr="00502787" w:rsidRDefault="00F3660E" w:rsidP="00502787">
            <w:pPr>
              <w:jc w:val="both"/>
              <w:rPr>
                <w:rFonts w:ascii="Times New Roman" w:hAnsi="Times New Roman" w:cs="Times New Roman"/>
                <w:sz w:val="20"/>
                <w:szCs w:val="20"/>
                <w:lang w:val="ro-MD"/>
              </w:rPr>
            </w:pPr>
          </w:p>
          <w:p w14:paraId="5099B0A8" w14:textId="77777777" w:rsidR="00F3660E" w:rsidRPr="00502787" w:rsidRDefault="00F3660E" w:rsidP="00502787">
            <w:pPr>
              <w:jc w:val="both"/>
              <w:rPr>
                <w:rFonts w:ascii="Times New Roman" w:hAnsi="Times New Roman" w:cs="Times New Roman"/>
                <w:sz w:val="20"/>
                <w:szCs w:val="20"/>
                <w:lang w:val="ro-MD"/>
              </w:rPr>
            </w:pPr>
          </w:p>
          <w:p w14:paraId="331AEAE2" w14:textId="77777777" w:rsidR="00F3660E" w:rsidRPr="00502787" w:rsidRDefault="00F3660E" w:rsidP="00502787">
            <w:pPr>
              <w:jc w:val="both"/>
              <w:rPr>
                <w:rFonts w:ascii="Times New Roman" w:hAnsi="Times New Roman" w:cs="Times New Roman"/>
                <w:sz w:val="20"/>
                <w:szCs w:val="20"/>
                <w:lang w:val="ro-MD"/>
              </w:rPr>
            </w:pPr>
          </w:p>
          <w:p w14:paraId="2AB1AF61" w14:textId="77777777" w:rsidR="00F3660E" w:rsidRPr="00502787" w:rsidRDefault="00F3660E" w:rsidP="00502787">
            <w:pPr>
              <w:jc w:val="both"/>
              <w:rPr>
                <w:rFonts w:ascii="Times New Roman" w:hAnsi="Times New Roman" w:cs="Times New Roman"/>
                <w:sz w:val="20"/>
                <w:szCs w:val="20"/>
                <w:lang w:val="ro-MD"/>
              </w:rPr>
            </w:pPr>
          </w:p>
          <w:p w14:paraId="7DA1D674" w14:textId="77777777" w:rsidR="00F3660E" w:rsidRPr="00502787" w:rsidRDefault="00F3660E" w:rsidP="00502787">
            <w:pPr>
              <w:jc w:val="both"/>
              <w:rPr>
                <w:rFonts w:ascii="Times New Roman" w:hAnsi="Times New Roman" w:cs="Times New Roman"/>
                <w:sz w:val="20"/>
                <w:szCs w:val="20"/>
                <w:lang w:val="ro-MD"/>
              </w:rPr>
            </w:pPr>
          </w:p>
          <w:p w14:paraId="44AD258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Educației și Cercetării</w:t>
            </w:r>
          </w:p>
          <w:p w14:paraId="4184F8B8" w14:textId="77777777" w:rsidR="00F3660E" w:rsidRPr="00502787" w:rsidRDefault="00F3660E" w:rsidP="00502787">
            <w:pPr>
              <w:jc w:val="both"/>
              <w:rPr>
                <w:rFonts w:ascii="Times New Roman" w:hAnsi="Times New Roman" w:cs="Times New Roman"/>
                <w:sz w:val="20"/>
                <w:szCs w:val="20"/>
                <w:lang w:val="ro-MD"/>
              </w:rPr>
            </w:pPr>
          </w:p>
          <w:p w14:paraId="2546746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Intervențiile în domeniul educației incluzive sunt asigurate prin intermediul Porgramului național de dezvoltare a educației incluzive în Republica Moldova pentru anii 2024-2027, iar ațiunile menționate au fost incluse și în Strategia Sectorială de Cheltuieli pentru anii 2026-2028</w:t>
            </w:r>
          </w:p>
        </w:tc>
      </w:tr>
      <w:tr w:rsidR="0024020C" w:rsidRPr="00502787" w14:paraId="1108B4C3" w14:textId="77777777">
        <w:trPr>
          <w:trHeight w:val="562"/>
        </w:trPr>
        <w:tc>
          <w:tcPr>
            <w:tcW w:w="556" w:type="dxa"/>
            <w:vMerge w:val="restart"/>
          </w:tcPr>
          <w:p w14:paraId="1A092B01"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CC38F04"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25527B8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4 - Capitalul social</w:t>
            </w:r>
          </w:p>
          <w:p w14:paraId="6858987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Subdomeniul 5: Ocuparea forței de muncă și piața muncii (coroborat cu măsurile propuse pentru Pilonul 1):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Promovarea încadrării tinerilor, reprezentanților NEET și a persoanelor din grupurile vulnerabile pe piața muncii;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Acțiuni de creșterea gradului de conștientizare a angajatorilor cu privire la drepturile și obligațiile în domeniul muncii;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Stimularea angajării reprezentanților grupurilor vulnerabile, a victimelor violenței de gen și a victimelor traficului de ființe umane, stabilirea unor facilități pentru angajatorii care asigură angajarea persoanelor cu dizabilități, asigură ajustările rezonabile necesare;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Elaborarea și promovarea unor programe de nivel național privind stimularea/instruirea persoanelor cu dizabilități în dezvoltarea propriilor afaceri (cu susținerea financiară la etapa inițială de lansare). </w:t>
            </w:r>
          </w:p>
        </w:tc>
        <w:tc>
          <w:tcPr>
            <w:tcW w:w="4819" w:type="dxa"/>
            <w:vMerge w:val="restart"/>
          </w:tcPr>
          <w:p w14:paraId="29DE0B9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Muncii și Protecției Sociale</w:t>
            </w:r>
          </w:p>
          <w:p w14:paraId="466E503B"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28F8B07B" w14:textId="77777777">
        <w:trPr>
          <w:trHeight w:val="562"/>
        </w:trPr>
        <w:tc>
          <w:tcPr>
            <w:tcW w:w="556" w:type="dxa"/>
            <w:vMerge w:val="restart"/>
          </w:tcPr>
          <w:p w14:paraId="160B61B4"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4DAFE71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041601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Suplimentar, notăm o altă îngrijorare în domeniul securității sociale vizează protecția cetățenilor Republicii Moldova domiciliați din stîngă Nistrului și localitățile limitrofe. Deoarece legislația în vigoare leagă persoanele de localitatea în care își au domiciliul pentru a depune o cerere de acordare a prestațiilor sociale, iar în stânga Nistrului nu există subdiviziuni ale  Casei Naționale de Asigurări Sociale, propunem identificarea posibilităților care să faciliteze accesul cetățenilor la sistemul de asistență și protecție socială. </w:t>
            </w:r>
          </w:p>
          <w:p w14:paraId="1710C43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Realizarea obiectivelor de îmbunătățire a calității vieții cetățenilor Republicii Moldova cu tangență la regiunea transnistreană. În cuprinsul proiectului Planului de creștere observăm o reglementare deficitară, practic inexistentă, a obiectivelor de modernizare și dezvoltare a Republicii Moldova cu tangență la regiunea transnistreană. În context, în continuarea aspectelor menționate la Pilonul 4 – Capitalul social, considerăm necesar reglementarea unor măsuri orientate la executarea obligației pozitive a statutului și asigurarea protecției cetățenilor Republicii Moldova din regiunea transnistreană, în particular: Dezvoltarea unui concept/plan de acțiuni orientate la consolidarea rezilienței și sporirea capacităților („Confidence Building Measures”);</w:t>
            </w:r>
          </w:p>
          <w:p w14:paraId="7944A56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Elaborarea și promovarea unor proiecte de susținere social-economică directă a locuitorilor din regiunea transnistreană, eventual, din perspectiva de ajutor umanitar (în special, în contextul dinamicii negative din ultimii ani); Promovarea unor proiecte de reintegrare socială a cetățenilor Republicii Moldova din regiunea transnistreană strămutați intern (voluntar/forțat) pe malul drept. Din perspectivă strategică, măsurile vizate sunt de natură să asigure o contribuție la îmbunătățirea calității vieții cetățenilor Republicii Moldova din regiunea transnistreană aflați întro conjunctură problematică, cât și o imagine pozitivă a autorităților constituționale în perspectiva planurilor de reintegrare a regiunii din stânga Nistrului. </w:t>
            </w:r>
          </w:p>
        </w:tc>
        <w:tc>
          <w:tcPr>
            <w:tcW w:w="4819" w:type="dxa"/>
            <w:vMerge w:val="restart"/>
          </w:tcPr>
          <w:p w14:paraId="598B6E4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Muncii și Protecției Sociale</w:t>
            </w:r>
          </w:p>
          <w:p w14:paraId="5512D423" w14:textId="77777777" w:rsidR="00F3660E" w:rsidRPr="00502787" w:rsidRDefault="00F3660E" w:rsidP="00502787">
            <w:pPr>
              <w:jc w:val="both"/>
              <w:rPr>
                <w:rFonts w:ascii="Times New Roman" w:hAnsi="Times New Roman" w:cs="Times New Roman"/>
                <w:sz w:val="20"/>
                <w:szCs w:val="20"/>
                <w:lang w:val="ro-MD"/>
              </w:rPr>
            </w:pPr>
          </w:p>
          <w:p w14:paraId="4E6138F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Biroul Politici de Reintegrare</w:t>
            </w:r>
          </w:p>
          <w:p w14:paraId="02D2B43F" w14:textId="77777777" w:rsidR="00F3660E" w:rsidRPr="00502787" w:rsidRDefault="00F3660E" w:rsidP="00502787">
            <w:pPr>
              <w:jc w:val="both"/>
              <w:rPr>
                <w:rFonts w:ascii="Times New Roman" w:hAnsi="Times New Roman" w:cs="Times New Roman"/>
                <w:sz w:val="20"/>
                <w:szCs w:val="20"/>
                <w:lang w:val="ro-MD"/>
              </w:rPr>
            </w:pPr>
          </w:p>
          <w:p w14:paraId="685992E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Justiției</w:t>
            </w:r>
          </w:p>
          <w:p w14:paraId="4F667739" w14:textId="77777777" w:rsidR="00F3660E" w:rsidRPr="00502787" w:rsidRDefault="00F3660E" w:rsidP="00502787">
            <w:pPr>
              <w:jc w:val="both"/>
              <w:rPr>
                <w:rFonts w:ascii="Times New Roman" w:hAnsi="Times New Roman" w:cs="Times New Roman"/>
                <w:sz w:val="20"/>
                <w:szCs w:val="20"/>
                <w:lang w:val="ro-MD"/>
              </w:rPr>
            </w:pPr>
          </w:p>
        </w:tc>
      </w:tr>
      <w:tr w:rsidR="0024020C" w:rsidRPr="002B2F7D" w14:paraId="6DAF76ED" w14:textId="77777777">
        <w:trPr>
          <w:trHeight w:val="562"/>
        </w:trPr>
        <w:tc>
          <w:tcPr>
            <w:tcW w:w="556" w:type="dxa"/>
            <w:vMerge w:val="restart"/>
          </w:tcPr>
          <w:p w14:paraId="6797324D"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2E71A916"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5970872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5 – Tranziția verde și capitalul natural</w:t>
            </w:r>
          </w:p>
          <w:p w14:paraId="4CFE056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Din perspectiva privind protecția sănătății publice și a mediului, se observă un grad înalt de vulnerabilitate la riscurile climatice și la epuizarea resurselor pe </w:t>
            </w:r>
            <w:r w:rsidRPr="00502787">
              <w:rPr>
                <w:rFonts w:ascii="Times New Roman" w:hAnsi="Times New Roman" w:cs="Times New Roman"/>
                <w:sz w:val="20"/>
                <w:szCs w:val="20"/>
                <w:lang w:val="ro-MD"/>
              </w:rPr>
              <w:lastRenderedPageBreak/>
              <w:t>domeniul de securitate ecologică. Subsecvent măsurilor reglementate, notăm că îmbunătățirea guvernanței de mediu prin stabilirea unui cadru instituțional mai structurat pentru supravegherea de mediu nu este suficient pentru asigurarea securității ecologice și condițiilor necesare pentru realizarea dreptului la un mediu sănătos. Pentru a avea un impact real, agenda de reforme trebuie să vizeze măsuri targetate pe sectoarele vulnerabile – gestionarea deșeurilor și infrastructura de reciclare. În Republica Moldova, importanța reciclării deșeurilor este un subiect foarte rar dezbătut, iar sortarea deșeurilor este concepută ca un proces plictisitor și pierdere de timp. În context, este de notat experiența țărilor dezvoltate, unde politica de gestionare a deșeurilor asigură nu doar protecția mediului, dar este și economic profitabilă.</w:t>
            </w:r>
          </w:p>
          <w:p w14:paraId="48218A78" w14:textId="77777777" w:rsidR="00F3660E" w:rsidRPr="00502787" w:rsidRDefault="00F3660E" w:rsidP="00502787">
            <w:pPr>
              <w:jc w:val="both"/>
              <w:rPr>
                <w:rFonts w:ascii="Times New Roman" w:hAnsi="Times New Roman" w:cs="Times New Roman"/>
                <w:sz w:val="20"/>
                <w:szCs w:val="20"/>
                <w:lang w:val="ro-MD"/>
              </w:rPr>
            </w:pPr>
          </w:p>
          <w:p w14:paraId="49C9FFD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acest sens, considerăm judicios completarea listei de priorități cu măsuri și proiecte suplimentare orientate la: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Selectarea gunoiului şi crearea unui atelier de reciclare a hârtiei, sticlei şi a deşeurilor din plastic, valorificarea deșeurilor;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Reducerea cantității de deșeuri biodegradabile în depozitele de deșeuri (conform Directivei Depozitării);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Construcţia unei uzine de prelucrare a deşeurilor ce va avea efecte pozitive semnificative pentru întreaga comunitate;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Construirea unei uzini de termovalorificare a deşeurilor solide şi a nămolului; </w:t>
            </w:r>
            <w:r w:rsidRPr="00502787">
              <w:rPr>
                <w:rFonts w:ascii="Segoe UI Symbol" w:hAnsi="Segoe UI Symbol" w:cs="Segoe UI Symbol"/>
                <w:sz w:val="20"/>
                <w:szCs w:val="20"/>
                <w:lang w:val="ro-MD"/>
              </w:rPr>
              <w:t>➢</w:t>
            </w:r>
            <w:r w:rsidRPr="00502787">
              <w:rPr>
                <w:rFonts w:ascii="Times New Roman" w:hAnsi="Times New Roman" w:cs="Times New Roman"/>
                <w:sz w:val="20"/>
                <w:szCs w:val="20"/>
                <w:lang w:val="ro-MD"/>
              </w:rPr>
              <w:t xml:space="preserve"> Promovarea culturii de mediu în rîndul populaţiei prin conceperea şi implementarea unui plan naţional de acţiuni pentru sensibilizarea şi conştientizarea publicului faţă de problematica protecţiei mediului. </w:t>
            </w:r>
          </w:p>
        </w:tc>
        <w:tc>
          <w:tcPr>
            <w:tcW w:w="4819" w:type="dxa"/>
            <w:vMerge w:val="restart"/>
          </w:tcPr>
          <w:p w14:paraId="6568208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Mediului</w:t>
            </w:r>
          </w:p>
          <w:p w14:paraId="66B419C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Propunerea este relevantă, dar nu se acceptă a fi inclusă în Agenda de reforme, deoarece ea se regăsește deja în partea </w:t>
            </w:r>
            <w:r w:rsidRPr="00502787">
              <w:rPr>
                <w:rFonts w:ascii="Times New Roman" w:hAnsi="Times New Roman" w:cs="Times New Roman"/>
                <w:sz w:val="20"/>
                <w:szCs w:val="20"/>
                <w:lang w:val="ro-MD"/>
              </w:rPr>
              <w:lastRenderedPageBreak/>
              <w:t xml:space="preserve">investițională a Growth Plan, ținând cont că se referă la investiții în infrastructura de gestionare a deșeurilor, inclusiv reciclare. Proiectul „Deșeuri solide în RM” a început să fie implementat și prevede crearea unui sistem regional consolidat de gestionare a deșeurilor solide în 6 regiuni de management al deșeurilor din cadrul Strategiei de gestionare a deșeurilor, care cuprinde întreg teritoriul țării: </w:t>
            </w:r>
          </w:p>
          <w:p w14:paraId="264DDF7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1 – Cahul, Cantemir, Taraclia, Ceadâr-Lunga, Vulcănești și Comrat;</w:t>
            </w:r>
          </w:p>
          <w:p w14:paraId="148332A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2 – Leova, Cimișlia, Basarabeasca, Căușeni și Ștefan Vodă;</w:t>
            </w:r>
          </w:p>
          <w:p w14:paraId="083AD04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4 – mun. Chișinău, Strășeni, Ialoveni, Hâncești, Criuleni, Cocieri, Anenii Noi și Orhei;</w:t>
            </w:r>
          </w:p>
          <w:p w14:paraId="5355736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5 – Ungheni, Nisporeni, Călărași;</w:t>
            </w:r>
          </w:p>
          <w:p w14:paraId="103861E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7 – mun. Bălți, Drochia, Râșcani, Glodeni, Florești, Fălești, Sângerei, Soroca, Șoldănești, Rezina și Telenești;</w:t>
            </w:r>
          </w:p>
          <w:p w14:paraId="5E10929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Regiunea 8 – Briceni, Ocnița, Edineț și Dondușeni.</w:t>
            </w:r>
          </w:p>
          <w:p w14:paraId="3CD4831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Activitățile presupun achiziționarea de active pentru colectarea și transferul deșeurilor (containere pentru deșeuri și vehicule de colectare), construcția de infrastructură de eliminare și tratare a deșeurilor solide (depozite regionale de deșeuri, stații de transfer, instalații de sortare și centre de reciclare și management ecologic a deșeurilor) suport pentru închiderea depozitelor de deșeuri neconforme și a multor depozite de deșeuri neautorizate existente. Ptoiectul este finanțat în cadrul unor Acorduri de împrumut cu BEI și BERD și urmează a fi finalizat în toate 6 regiuni către anul 2030. Tot în cadrul acestui proiect este dezvoltată și o Strategie de comunicare, care va fi pusă în aplicare începând cu acest an.</w:t>
            </w:r>
          </w:p>
          <w:p w14:paraId="3FB7150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 ceea ce vizează elaborarea unui Plan naţional de acţiuni pentru sensibilizarea şi conştientizarea publicului faţă de problematica protecţiei mediului, propunerea este binevenită și va fi abordată în cadrul planificării activității Ministerului pentru următoarea perioadă de planificare.</w:t>
            </w:r>
          </w:p>
        </w:tc>
      </w:tr>
      <w:tr w:rsidR="0024020C" w:rsidRPr="00502787" w14:paraId="1DB763C7" w14:textId="77777777">
        <w:trPr>
          <w:trHeight w:val="562"/>
        </w:trPr>
        <w:tc>
          <w:tcPr>
            <w:tcW w:w="556" w:type="dxa"/>
            <w:vMerge w:val="restart"/>
          </w:tcPr>
          <w:p w14:paraId="7F724ED1"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5F46975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3228E8B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7 – Valori fundamentale</w:t>
            </w:r>
          </w:p>
          <w:p w14:paraId="6674242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Reforma 7.3.8-9: Edificarea, în continuare, a unei administrații mai eficiente, moderne, digitale și accesibile în sectorul justiției.</w:t>
            </w:r>
          </w:p>
          <w:p w14:paraId="109B88B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partea ce vizează asigurarea eficienței și transparenței sectorului de justiție, notăm ponderea semnificativă pe care o comportă măsurile de digitalizare a proceselor. Totodată, atragem atenția și asupra potențialului impact pe care îl pot </w:t>
            </w:r>
            <w:r w:rsidRPr="00502787">
              <w:rPr>
                <w:rFonts w:ascii="Times New Roman" w:hAnsi="Times New Roman" w:cs="Times New Roman"/>
                <w:sz w:val="20"/>
                <w:szCs w:val="20"/>
                <w:lang w:val="ro-MD"/>
              </w:rPr>
              <w:lastRenderedPageBreak/>
              <w:t xml:space="preserve">implica aceste măsuri asupra beneficiarilor. În speță, în perspectiva creșterii dinamice a tendinței de digitalizare a proceselor aferente actului de justiție, se creează riscuri de compromitere a accesibilității pentru grupurile vulnerabile, în particular, din perspectiva accesului la informație și accesului la justiție. </w:t>
            </w:r>
          </w:p>
          <w:p w14:paraId="39D8B63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 context, se consideră oportun realizarea unei analize de impact a tendințelor de digitalizare asupra modalității de realizare a dreptului de acces la informație și/sau acces la justiție pentru beneficiari. Subsecvent, se propune reglementarea tranziției etapizate și/sau progresive, raportată la disponibilitățile existente pentru grupurile vulnerabile.</w:t>
            </w:r>
          </w:p>
        </w:tc>
        <w:tc>
          <w:tcPr>
            <w:tcW w:w="4819" w:type="dxa"/>
            <w:vMerge w:val="restart"/>
          </w:tcPr>
          <w:p w14:paraId="49D223E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Justiției</w:t>
            </w:r>
          </w:p>
        </w:tc>
      </w:tr>
      <w:tr w:rsidR="0024020C" w:rsidRPr="00502787" w14:paraId="2901D6C5" w14:textId="77777777">
        <w:trPr>
          <w:trHeight w:val="562"/>
        </w:trPr>
        <w:tc>
          <w:tcPr>
            <w:tcW w:w="556" w:type="dxa"/>
            <w:vMerge w:val="restart"/>
          </w:tcPr>
          <w:p w14:paraId="1F7B987F"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395F363"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0AA7001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Pilonul 7 – Valori fundamentale</w:t>
            </w:r>
          </w:p>
          <w:p w14:paraId="43BB7E7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Subdomeniul 7.4: Drepturile fundamentale Îmbunătățirea calității vieții cetățenilor nu poate fi asigurată în lipsa unor măsuri concrete de susținere a acestora, în special cu referire la realizarea drepturilor fundamentale. În context, se observă o reglementare deficitară la subiect, proiectul Planului de creștere incluzând la Subdomeniul 7.4: Drepturile fundamentale, doar o singură poziție ce vizează victimele violenței bazate pe gen (GBV). În context, considerăm necesar extinderea reglementărilor și completarea cu unele măsuri orientate la consolidarea capacităților individuale de realizare a drepturilor fundamentale, precum și țintit, pe unele categorii concrete, pe următoarele domenii: - Bussiness și drepturile omului - Business &amp; Human Rights; - Îmbunătățirea unor mecanisme de plângeri – inclusiv cele administrate de OAP, CpE, și nevoia de consolidare. - Drepturile migranților și persoanelor străine – garantarea protecției și integrării.</w:t>
            </w:r>
          </w:p>
        </w:tc>
        <w:tc>
          <w:tcPr>
            <w:tcW w:w="4819" w:type="dxa"/>
            <w:vMerge w:val="restart"/>
          </w:tcPr>
          <w:p w14:paraId="0AEFB51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Justiției</w:t>
            </w:r>
          </w:p>
        </w:tc>
      </w:tr>
      <w:tr w:rsidR="0024020C" w:rsidRPr="00502787" w14:paraId="69880A80" w14:textId="77777777">
        <w:trPr>
          <w:trHeight w:val="4597"/>
        </w:trPr>
        <w:tc>
          <w:tcPr>
            <w:tcW w:w="556" w:type="dxa"/>
            <w:vMerge w:val="restart"/>
          </w:tcPr>
          <w:p w14:paraId="469900A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10.</w:t>
            </w:r>
          </w:p>
        </w:tc>
        <w:tc>
          <w:tcPr>
            <w:tcW w:w="2278" w:type="dxa"/>
            <w:vMerge w:val="restart"/>
          </w:tcPr>
          <w:p w14:paraId="331D619B" w14:textId="77777777" w:rsidR="00F3660E"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Asociația Businessului European (EBA Moldova)</w:t>
            </w:r>
          </w:p>
          <w:p w14:paraId="76BA221C" w14:textId="09364A43" w:rsidR="00D51751" w:rsidRPr="00502787" w:rsidRDefault="00D51751" w:rsidP="00502787">
            <w:pPr>
              <w:jc w:val="both"/>
              <w:rPr>
                <w:rFonts w:ascii="Times New Roman" w:hAnsi="Times New Roman" w:cs="Times New Roman"/>
                <w:sz w:val="20"/>
                <w:szCs w:val="20"/>
                <w:lang w:val="ro-MD"/>
              </w:rPr>
            </w:pPr>
            <w:r>
              <w:rPr>
                <w:rFonts w:ascii="Times New Roman" w:hAnsi="Times New Roman" w:cs="Times New Roman"/>
                <w:sz w:val="20"/>
                <w:szCs w:val="20"/>
                <w:lang w:val="ro-MD"/>
              </w:rPr>
              <w:t>(demers nr. 40-25/SD din 31.03.2025)</w:t>
            </w:r>
          </w:p>
        </w:tc>
        <w:tc>
          <w:tcPr>
            <w:tcW w:w="6661" w:type="dxa"/>
            <w:vMerge w:val="restart"/>
          </w:tcPr>
          <w:p w14:paraId="5DBB958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0063C0D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Dezvoltarea unei economii bazată pe valoare adăugată:</w:t>
            </w:r>
          </w:p>
          <w:p w14:paraId="0DE9FAC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Ținând cont de situația în stagnare a economiei RM, o sitauație condiționată de războiul în Ucraina, care a redus dramatic apetitul investițional pentru Republica Moldova, este imperios să fie resetate motoarele de creștere economică a țării, cu sprijinul financiar din partea UE, în lumina procesului de aderare a RM la UE și anume cu fondurile ce vor sprijini implementarea Agendei de reforme. Astfel, este important ca banii alocați de UE să fie canalizați spre dezvoltarea valorii adăugate și extinderea bazei fiscale, astfel încât economia țării, bugetul public național, să reducă din dependența de TVA colectat la importul de mărfuri. Lansarea schemei de ajutor de stat reprezintă un instrument extrem de util și binevenit, totuși acesta nu este suficient pentru susținerea companiilor procesatoare/producătoare, focusate pe export.</w:t>
            </w:r>
          </w:p>
          <w:p w14:paraId="64469C1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Astfel, în contextul sprijinului financiar primit de la UE pentru implementarea Agendei de reforme, va fi imperios de susținut nu doar IMM, dar și companiile medii și mari, adică companiilor producătoare și procesatoare care generează valoarea adaugată.</w:t>
            </w:r>
          </w:p>
        </w:tc>
        <w:tc>
          <w:tcPr>
            <w:tcW w:w="4819" w:type="dxa"/>
            <w:vMerge w:val="restart"/>
          </w:tcPr>
          <w:p w14:paraId="03DF8AAA" w14:textId="3B0FC078"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Finanțelor</w:t>
            </w:r>
          </w:p>
          <w:p w14:paraId="6657883E" w14:textId="38578A58" w:rsidR="002441BB" w:rsidRPr="00502787" w:rsidRDefault="002441BB"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Propunerile se vor examina în cadrul exercițiului de transpunere a directivei 112/2006 privind TVA, proces în cadrul căruia se va examina oportunitatea preluării practicilor UE</w:t>
            </w:r>
          </w:p>
          <w:p w14:paraId="31D7530E" w14:textId="77777777" w:rsidR="00F3660E" w:rsidRPr="00502787" w:rsidRDefault="00F3660E" w:rsidP="00502787">
            <w:pPr>
              <w:jc w:val="both"/>
              <w:rPr>
                <w:rFonts w:ascii="Times New Roman" w:hAnsi="Times New Roman" w:cs="Times New Roman"/>
                <w:sz w:val="20"/>
                <w:szCs w:val="20"/>
                <w:lang w:val="ro-MD"/>
              </w:rPr>
            </w:pPr>
          </w:p>
          <w:p w14:paraId="2C9A1BE0" w14:textId="77777777" w:rsidR="00F3660E" w:rsidRPr="00502787" w:rsidRDefault="00F3660E" w:rsidP="00502787">
            <w:pPr>
              <w:jc w:val="both"/>
              <w:rPr>
                <w:rFonts w:ascii="Times New Roman" w:hAnsi="Times New Roman" w:cs="Times New Roman"/>
                <w:sz w:val="20"/>
                <w:szCs w:val="20"/>
                <w:lang w:val="ro-MD"/>
              </w:rPr>
            </w:pPr>
          </w:p>
          <w:p w14:paraId="2F2C2769" w14:textId="77777777" w:rsidR="00F3660E" w:rsidRPr="00502787" w:rsidRDefault="00F3660E" w:rsidP="00502787">
            <w:pPr>
              <w:jc w:val="both"/>
              <w:rPr>
                <w:rFonts w:ascii="Times New Roman" w:hAnsi="Times New Roman" w:cs="Times New Roman"/>
                <w:sz w:val="20"/>
                <w:szCs w:val="20"/>
                <w:lang w:val="ro-MD"/>
              </w:rPr>
            </w:pPr>
          </w:p>
          <w:p w14:paraId="4BF0A21D"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0B3BE5D4" w14:textId="77777777">
        <w:trPr>
          <w:trHeight w:val="562"/>
        </w:trPr>
        <w:tc>
          <w:tcPr>
            <w:tcW w:w="556" w:type="dxa"/>
            <w:vMerge w:val="restart"/>
          </w:tcPr>
          <w:p w14:paraId="2307B3C8"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988CCFB"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02CA46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1: Dezvoltarea Sectorului Privat</w:t>
            </w:r>
          </w:p>
          <w:p w14:paraId="1BAC00E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Consolidarea capacităților ANSA prin suplinirea numărului de angajați, majorarea salariilor, precum și consolidarea infrastructurii de laboratoare în domeniul siguranței alimentelor.</w:t>
            </w:r>
          </w:p>
          <w:p w14:paraId="30AC411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Urmare a autorizării de către Comisia Europeană, în martie 2023, a exportului de carne de pasăre procesată și ouă de Categoria A din RM, primul producător de ouă din Moldova a primit aprobarea pentru export pe piața UE în octombrie 2024. Acest moment a reprezentat o etapă importantă, marcând prima operațiune de export de ouă de consum pe piața unică europeană, urmare a îndeplinirii de către producător a standardelor stricte ale UE.</w:t>
            </w:r>
          </w:p>
          <w:p w14:paraId="5B49E3A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Pentru a valorifica pe deplin această oportunitate și a extinde potențialul de export al Moldovei pentru produsele alimentare de origine animală, producătorii trebuie să continue alinierea practicilor lor la cadrul de reglementare al UE. Acest lucru include activități legate de sectorul avicol, cum ar fi incubarea, creșterea păsărilor, sacrificarea, procesarea și depozitarea.</w:t>
            </w:r>
          </w:p>
          <w:p w14:paraId="3CAF3E6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Totuși, o provocare majoră este numărul insuficient de specialiști în cadrul ANSA la nivel național, numărul limitat de laboratoare naționale capabile să îndeplinească cerințele de certificare sanitar-veterinară și fitosanitară pentru exporturile către UE. Lipsa echipamentelor de înaltă performanță și investițiile insuficiente în infrastructura de laboratoare afectează capacitatea operațională a acestora.</w:t>
            </w:r>
          </w:p>
          <w:p w14:paraId="29F9F33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Pentru a adresa provocările sus-menționate, sunt necesare realizarea următoarelor acțiuni:</w:t>
            </w:r>
          </w:p>
          <w:p w14:paraId="74F4AA9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Majorarea nr de angajați ai ANSA și majorarea salariilor angajaților. Implementarea unor programe de instruiri specializate, prin invitarea experților in domeniu. Certificarea specialiștilor la nivel național. Asigurarea unei comunicări strânse dintre specialiștii ANSA si unitățile prodicătoare/procesatoare de carne (domeniul suine, avicol, bovine, caprine etc)</w:t>
            </w:r>
          </w:p>
          <w:p w14:paraId="69408D3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Extinderea rețelei de laboratoare naționale și modernizarea infrastructurii tehnice pentru îmbunătățirea proceselor de certificare a produselor destinate exportului în UE, inclusiv prin asigurarea funcționării laboratoarelor 24/7 la punctele de trecere a frontierei.</w:t>
            </w:r>
          </w:p>
          <w:p w14:paraId="6C76394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Consolidarea capacităților instituționale în cadrul Ministerului Agriculturii și Industriei Alimentare și Agenției Naționale pentru Siguranța Alimentelor pentru a accelera alinierea legislației naționale la standardele UE.</w:t>
            </w:r>
          </w:p>
          <w:p w14:paraId="0E80C2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Acordarea de fonduri de preaderare pentru sprijinirea producătorilor locali și dezvoltarea piețelor publice municipale.</w:t>
            </w:r>
          </w:p>
          <w:p w14:paraId="7CB52A16" w14:textId="77777777" w:rsidR="00F3660E" w:rsidRPr="00502787" w:rsidRDefault="00F3660E" w:rsidP="00502787">
            <w:pPr>
              <w:jc w:val="both"/>
              <w:rPr>
                <w:rFonts w:ascii="Times New Roman" w:hAnsi="Times New Roman" w:cs="Times New Roman"/>
                <w:sz w:val="20"/>
                <w:szCs w:val="20"/>
                <w:lang w:val="ro-MD"/>
              </w:rPr>
            </w:pPr>
          </w:p>
          <w:p w14:paraId="4D1C800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By dec 2026 Capacity-building programmes and technical assistance for publicnservants from the Ministrynof Agriculture and Food Industry and National Agency for Food Safety to accelerate the alignment of national legislation with EU standards. Also, providing preaccession funds to support local producers and the development of municipal public markets.</w:t>
            </w:r>
          </w:p>
        </w:tc>
        <w:tc>
          <w:tcPr>
            <w:tcW w:w="4819" w:type="dxa"/>
            <w:vMerge w:val="restart"/>
          </w:tcPr>
          <w:p w14:paraId="59689E6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1D92AE8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w:t>
            </w:r>
          </w:p>
          <w:p w14:paraId="1F3EB00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2024 Ministerul Agriculturii și Indusrtieri Alimentare a realizat o amplă reformă instituțională. Reforma a vizat atât reorganizarea internă menită să reflecte domeniile de competență ale Ministerului precum și să mărească statele de personal. Momentan, Serviciul Resurese Umane este în plină desfășurare a campaniei de recrutare. </w:t>
            </w:r>
          </w:p>
          <w:p w14:paraId="42F4232F" w14:textId="77777777" w:rsidR="00F3660E" w:rsidRPr="00502787" w:rsidRDefault="00F3660E" w:rsidP="00502787">
            <w:pPr>
              <w:jc w:val="both"/>
              <w:rPr>
                <w:rFonts w:ascii="Times New Roman" w:hAnsi="Times New Roman" w:cs="Times New Roman"/>
                <w:sz w:val="20"/>
                <w:szCs w:val="20"/>
                <w:lang w:val="ro-MD"/>
              </w:rPr>
            </w:pPr>
          </w:p>
          <w:p w14:paraId="2AF69AB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ciclul bugetar curent al Politicii Agricole Comune, fonduri de preaderare pentru sector din partea UE nu sunt prevăzute. Disponibilitatea acestora în următorul ciclu bugetar va fi comunicată suplimentar. </w:t>
            </w:r>
          </w:p>
          <w:p w14:paraId="519A33C0" w14:textId="77777777" w:rsidR="00F3660E" w:rsidRPr="00502787" w:rsidRDefault="00F3660E" w:rsidP="00502787">
            <w:pPr>
              <w:jc w:val="both"/>
              <w:rPr>
                <w:rFonts w:ascii="Times New Roman" w:hAnsi="Times New Roman" w:cs="Times New Roman"/>
                <w:sz w:val="20"/>
                <w:szCs w:val="20"/>
                <w:lang w:val="ro-MD"/>
              </w:rPr>
            </w:pPr>
          </w:p>
          <w:p w14:paraId="23C01B5A" w14:textId="77777777" w:rsidR="00F3660E" w:rsidRPr="00502787" w:rsidRDefault="00AC49DB" w:rsidP="00502787">
            <w:pPr>
              <w:jc w:val="both"/>
              <w:rPr>
                <w:rFonts w:ascii="Times New Roman" w:hAnsi="Times New Roman" w:cs="Times New Roman"/>
                <w:sz w:val="20"/>
                <w:szCs w:val="20"/>
                <w:lang w:val="ro-MD"/>
              </w:rPr>
            </w:pPr>
            <w:hyperlink r:id="rId16" w:tooltip="https://www.facebook.com/ansagovmd/?locale=ro_RO" w:history="1">
              <w:r w:rsidR="00480C4A" w:rsidRPr="00502787">
                <w:rPr>
                  <w:rStyle w:val="Hyperlink"/>
                  <w:rFonts w:ascii="Times New Roman" w:eastAsia="Times New Roman" w:hAnsi="Times New Roman" w:cs="Times New Roman"/>
                  <w:b/>
                  <w:color w:val="auto"/>
                  <w:sz w:val="20"/>
                  <w:szCs w:val="20"/>
                  <w:u w:val="none"/>
                  <w:lang w:val="ro-MD"/>
                </w:rPr>
                <w:t>Agenția Națională pentru Siguranța Alimentelor</w:t>
              </w:r>
            </w:hyperlink>
          </w:p>
          <w:p w14:paraId="1BE613EE" w14:textId="77777777" w:rsidR="00F3660E" w:rsidRPr="00502787" w:rsidRDefault="00F3660E" w:rsidP="00502787">
            <w:pPr>
              <w:jc w:val="both"/>
              <w:rPr>
                <w:rFonts w:ascii="Times New Roman" w:hAnsi="Times New Roman" w:cs="Times New Roman"/>
                <w:sz w:val="20"/>
                <w:szCs w:val="20"/>
                <w:lang w:val="ro-MD"/>
              </w:rPr>
            </w:pPr>
          </w:p>
          <w:p w14:paraId="649748D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susține.</w:t>
            </w:r>
          </w:p>
          <w:p w14:paraId="1AD1F62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 conformitate cu Hotarârea Guvernului 14/2023, efectivul-limită al Agenției Naționale pentru Siguranța Alimentelor constituie 1179 unități, acesta fiind rezultatul unei reforme de reorganizare instituțională amplă la nivel central, teritorial și la frontieră. Astfel, cosiderăm inoportună majorarea număruluir de angajați ai Agenției.</w:t>
            </w:r>
          </w:p>
          <w:p w14:paraId="03DC5FA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Cît privește structurile teritoriale și infrastructura de laboratoare, acestea sunt în continuă dezvoltare și modernizare, în special dezvoltarea capacităților laboratoarelor fiind deja prevăzută în Matricea Planului de Creștere.</w:t>
            </w:r>
          </w:p>
          <w:p w14:paraId="384D5ED5"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26CCAA8F" w14:textId="77777777">
        <w:trPr>
          <w:trHeight w:val="562"/>
        </w:trPr>
        <w:tc>
          <w:tcPr>
            <w:tcW w:w="556" w:type="dxa"/>
            <w:vMerge w:val="restart"/>
          </w:tcPr>
          <w:p w14:paraId="13EC9E54"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782CBB6"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FCE051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Crearea unei burse de valori în RM, prin asigurarea unei colaborări strînse cu Bursa de Valori Bucuresti și alte burse în regiune</w:t>
            </w:r>
          </w:p>
          <w:p w14:paraId="4DA64CD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Pentru a asigura dezvoltarea pieții de capital în RM și genera o diversitate a investițiilor, precum și a asigura un grad sporit de atractivitate din partea investitorilor internaționali și locali - este imperios de a investi în crearea unei Burse de Valori în RM, urmând toate practicile internaționale și din regiune.</w:t>
            </w:r>
            <w:r w:rsidRPr="00502787">
              <w:rPr>
                <w:rFonts w:ascii="Times New Roman" w:hAnsi="Times New Roman" w:cs="Times New Roman"/>
                <w:sz w:val="20"/>
                <w:szCs w:val="20"/>
                <w:lang w:val="ro-MD"/>
              </w:rPr>
              <w:tab/>
            </w:r>
          </w:p>
        </w:tc>
        <w:tc>
          <w:tcPr>
            <w:tcW w:w="4819" w:type="dxa"/>
            <w:vMerge w:val="restart"/>
          </w:tcPr>
          <w:p w14:paraId="44DA6125" w14:textId="66455143"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Banca Națională a Moldovei</w:t>
            </w:r>
          </w:p>
          <w:p w14:paraId="08CD97F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Banca Națională a Moldovei (BNM) sprijină crearea unei burse de valori în Republica Moldova, în cadrul unui parteneriat cu Bursa de Valori București și autoritățile publice de profil. Având în vedere împuternicirile BNM în privința activității depozitarilor centrali în Republica Moldova, în cazul creării unei noi burse, BNM va asigura instituirea conexiunilor între Depozitarul Central Unic al Valorilor Mobiliare și noua bursă, fapt care va permite decontarea tranzacțiilor bursiere.</w:t>
            </w:r>
          </w:p>
          <w:p w14:paraId="524AC7A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19DB0A7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 același timp, menționăm că aspectele privind reglementarea și licențierea/autorizarea burselor de valori, condițiile de desfășurare a activității și aspectele adiacente (înregistrarea prospectelor ofertelor publice, admiterea emitenților la piața bursieră, activitatea societăților de investiții la bursă etc.) țin de competențele Comisiei Naționale a Pieței Financiare (CNPF).</w:t>
            </w:r>
          </w:p>
          <w:p w14:paraId="032E6B07"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3AE47675" w14:textId="77777777">
        <w:trPr>
          <w:trHeight w:val="562"/>
        </w:trPr>
        <w:tc>
          <w:tcPr>
            <w:tcW w:w="556" w:type="dxa"/>
            <w:vMerge w:val="restart"/>
          </w:tcPr>
          <w:p w14:paraId="14B80094"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1FAE2F6"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40E1F63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Extinderea statutului de zonă liberă a Portului Internațional Liber Giurgiulești</w:t>
            </w:r>
          </w:p>
          <w:p w14:paraId="37AFB01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Ca o parte componenta a Pilonului 1 al Planului de Creștere, considerăm importantă asigurarea extinderii statutului de zonă liberă a Portului Internațional Liber Giurgiulești, în conformitate cu Codul vamal 95/2021, după expirarea validității actualei Legi nr. 08/2005, în anul 2030. Această extindere va permite valorificarea oportunităților de facilitare a traficului</w:t>
            </w:r>
          </w:p>
          <w:p w14:paraId="6A04265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internațional de mărfuri oferite de legislația vamală europeană (https://taxationcustoms.ec.europa.eu/customs-4/free-zones_en).</w:t>
            </w:r>
          </w:p>
          <w:p w14:paraId="3C3FE7B1" w14:textId="77777777" w:rsidR="00F3660E" w:rsidRPr="00502787" w:rsidRDefault="00F3660E" w:rsidP="00502787">
            <w:pPr>
              <w:jc w:val="both"/>
              <w:rPr>
                <w:rFonts w:ascii="Times New Roman" w:hAnsi="Times New Roman" w:cs="Times New Roman"/>
                <w:sz w:val="20"/>
                <w:szCs w:val="20"/>
                <w:lang w:val="ro-MD"/>
              </w:rPr>
            </w:pPr>
          </w:p>
          <w:p w14:paraId="7AA8567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Ensure the extension of the Giurgiulești International Free Port’s free zone status in line with the Customs Code 95/2021 after the expiration of Law 8/2005 in 2030</w:t>
            </w:r>
          </w:p>
          <w:p w14:paraId="2709823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Baseline: The free zone regime of the International Free Port Giurgiulesti is likely to end in 2030.</w:t>
            </w:r>
          </w:p>
          <w:p w14:paraId="32D595B5" w14:textId="77777777" w:rsidR="00F3660E" w:rsidRPr="00502787" w:rsidRDefault="00F3660E" w:rsidP="00502787">
            <w:pPr>
              <w:jc w:val="both"/>
              <w:rPr>
                <w:rFonts w:ascii="Times New Roman" w:hAnsi="Times New Roman" w:cs="Times New Roman"/>
                <w:sz w:val="20"/>
                <w:szCs w:val="20"/>
                <w:lang w:val="ro-MD"/>
              </w:rPr>
            </w:pPr>
          </w:p>
          <w:p w14:paraId="46DD01C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 Ensure the extension of the Giurgiulești International Free Port’s free zone status in line with the Customs Code 95/2021 after the expiration of Law 8/2005 in 2030.</w:t>
            </w:r>
          </w:p>
        </w:tc>
        <w:tc>
          <w:tcPr>
            <w:tcW w:w="4819" w:type="dxa"/>
            <w:vMerge w:val="restart"/>
          </w:tcPr>
          <w:p w14:paraId="279A95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706DBC68" w14:textId="77777777" w:rsidR="00F3660E" w:rsidRPr="00502787" w:rsidRDefault="00F3660E" w:rsidP="00502787">
            <w:pPr>
              <w:jc w:val="both"/>
              <w:rPr>
                <w:rFonts w:ascii="Times New Roman" w:hAnsi="Times New Roman" w:cs="Times New Roman"/>
                <w:sz w:val="20"/>
                <w:szCs w:val="20"/>
                <w:lang w:val="ro-MD"/>
              </w:rPr>
            </w:pPr>
          </w:p>
          <w:p w14:paraId="3CE1CD7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Măsura poate fi doar parte a unui proces complex de redefinire a statutului Portului Internațional Liber Giurgiulești, implicit a drepturilor și obligațiilor tuturor părților.</w:t>
            </w:r>
          </w:p>
          <w:p w14:paraId="3D93B5BB" w14:textId="77777777" w:rsidR="00F3660E" w:rsidRPr="00502787" w:rsidRDefault="00F3660E" w:rsidP="00502787">
            <w:pPr>
              <w:jc w:val="both"/>
              <w:rPr>
                <w:rFonts w:ascii="Times New Roman" w:hAnsi="Times New Roman" w:cs="Times New Roman"/>
                <w:sz w:val="20"/>
                <w:szCs w:val="20"/>
                <w:lang w:val="ro-MD"/>
              </w:rPr>
            </w:pPr>
          </w:p>
          <w:p w14:paraId="7F4FFE87" w14:textId="2F0E1A08" w:rsidR="00F3660E" w:rsidRPr="00502787" w:rsidRDefault="00F3660E" w:rsidP="00502787">
            <w:pPr>
              <w:jc w:val="both"/>
              <w:rPr>
                <w:rFonts w:ascii="Times New Roman" w:hAnsi="Times New Roman" w:cs="Times New Roman"/>
                <w:sz w:val="20"/>
                <w:szCs w:val="20"/>
                <w:lang w:val="ro-MD"/>
              </w:rPr>
            </w:pPr>
          </w:p>
        </w:tc>
      </w:tr>
      <w:tr w:rsidR="0024020C" w:rsidRPr="00502787" w14:paraId="4FBD20F8" w14:textId="77777777">
        <w:trPr>
          <w:trHeight w:val="3058"/>
        </w:trPr>
        <w:tc>
          <w:tcPr>
            <w:tcW w:w="556" w:type="dxa"/>
            <w:vMerge w:val="restart"/>
          </w:tcPr>
          <w:p w14:paraId="69A13241"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811D9F4"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0FE3468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2: Conectivitate și infrastructură digitală</w:t>
            </w:r>
          </w:p>
          <w:p w14:paraId="1D15573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Sectorul naval. Observăm absența în această secțiune a Planului de Creștere a unei intenții de reformare a legislației navale a Republicii Moldova. Acțiunile planificate de ministerul de resort (Ministerul infrastructurii și dezvoltării regionale) sunt concentrate pe sectoarele rutier și feroviar. Legislația Republicii Moldova în domeniul transportului naval necesită o revizuire urgentă. Actualul cadru juridic (Codul Navigației Maritime Comerciale 499/1999 și Legea privind Transportul Naval Intern al Republicii Moldova 176/2013) definește un sistem legal și de guvernanță fragmentat, incoerent, incomplet, în mare măsură depășit și neadaptat la realitățile sectorului. Considerăm că o revizuire fundamentală și integrată a întregului cadru legislativ din domeniul transportului naval și al infrastructurii conexe trebuie inclusă în Planul de Creștere, pentru a sprijini dezvoltarea acestui sector esențial al conectivității.</w:t>
            </w:r>
          </w:p>
          <w:p w14:paraId="56BF152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Review of the legal framework of waterway transport and related infrastructure</w:t>
            </w:r>
          </w:p>
          <w:p w14:paraId="7B9C040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Baseline: Fragmented and contradictory legal framework and governance system in the sector of waterway transport.</w:t>
            </w:r>
          </w:p>
          <w:p w14:paraId="2B54B3C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 Key steps to reforming the legal framework for waterway transport and related infrastructure:</w:t>
            </w:r>
          </w:p>
          <w:p w14:paraId="6B829F2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 Unification and revision of laws: Consolidating and updating the two primary laws governing waterway transport— the Maritime Navigation Code (499/1999) and the Law on Inland Waterway Transport (176/2013)—to create a coherent, modern legal framework that aligns with international standards.</w:t>
            </w:r>
          </w:p>
          <w:p w14:paraId="0D2099A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 Establishment of an adequate governance framework: Creating a clear and efficient governance structure for ports and waterway administration to ensure effective management, coordination, and development.</w:t>
            </w:r>
          </w:p>
          <w:p w14:paraId="36B3402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 Systematization of oversight and implementation bodies:Defining and streamlining the roles, responsibilities, and competences of regulatory and oversight bodies to ensure clear accountability, better coordination, and the effective enforcement of regulations.</w:t>
            </w:r>
          </w:p>
        </w:tc>
        <w:tc>
          <w:tcPr>
            <w:tcW w:w="4819" w:type="dxa"/>
            <w:vMerge w:val="restart"/>
          </w:tcPr>
          <w:p w14:paraId="15B129F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Infrastructurii și Dezvoltării Regionale</w:t>
            </w:r>
          </w:p>
          <w:p w14:paraId="48A447C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Menționăm că acțiunea propusă nu se aliniază cu scopul și obiectivele Planului de Creștere Economică, având în vedere că acesta se concentrează în principal pe măsuri ce au un impact direct asupra economiei, însă ajustarea legislației navale reprezintă un subiect mai tehnic. </w:t>
            </w:r>
          </w:p>
          <w:p w14:paraId="616306C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Mai mult decât atât, atragem atenția că reformarea legislației navale este deja inclusă ca măsură în proiectul Programului Național de Aderare, care prevede adoptarea unui nou Cod al Transportului Naval, în scopul ajustării legislației caduce și transpunerii directivelor Uniunii Europene și a convențiilor internaționale relevante în domeniu. De asemenea, este în proces de elaborare Strategia Maritimă, care va oferi un cadru mai coerent și integrat de politici pentru dezvoltarea transportului  maritim. </w:t>
            </w:r>
          </w:p>
          <w:p w14:paraId="2F078D1B"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558E8595" w14:textId="77777777">
        <w:trPr>
          <w:trHeight w:val="2066"/>
        </w:trPr>
        <w:tc>
          <w:tcPr>
            <w:tcW w:w="556" w:type="dxa"/>
            <w:vMerge w:val="restart"/>
          </w:tcPr>
          <w:p w14:paraId="25A6B3F8"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752FDD3"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5E03B2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3: Guvernanța Economică</w:t>
            </w:r>
          </w:p>
          <w:p w14:paraId="564932A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Vulnerabilitatea economiei RM, transpusă și în rata joasă de investiții directe din ultimii ani, impun nevoia gândirii unui program amplu, menit să asigure relansarea economică și crearea unui mediu investițional favorabil și competitiv, dar și să înlăture impedimentele majore care încalcă grav libertățile și garanțiile în efectuarea investițiilor. Strategia fiscală, concepută în acest context, ar trebui să se concentreze pe introducerea unor reforme conceptuale bazate pe îmbunătățirea climatului investițional, simplificarea sistemului fiscal, corectarea inegalităților și evitarea denaturării concurenței.</w:t>
            </w:r>
          </w:p>
          <w:p w14:paraId="512956C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 Implementarea măsurilor menite să sprijine dezvoltarea economică și care reies din Acordul de Asociere</w:t>
            </w:r>
          </w:p>
          <w:p w14:paraId="39F32B3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1.1) Armonizarea condițiilor ce țin de rambursarea TVA</w:t>
            </w:r>
          </w:p>
          <w:p w14:paraId="40CEDBA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Codul fiscal prevede dreptul la restituirea TVA doar pentru anumite tipuri de operațiuni/activități economice (livrări efectuate la cota redusă TVA, investiții capitale, livrările scutite de TVA cu drept de deducere), cât și pentru livrările impozabile documentate prin SIA ”e- Factura”/SIA ”MEV”, fiind limitată, însă, la TVA dedus începând cu 01.01.2023. Mecanismul de restituire a TVA aplicabil începând cu 01.01.2023 a fost prezentat ca fiind unul încurajator, totuși, acesta nu a condus la o majorare a sumelor TVA spre restituire din buget. Limitarea dreptului la restituirea TVA prin dispozițiile Codului fiscal existent încalcă grav principiul neutralității taxei prevăzut de cadrul de armonizare agreat de RM și blochează activitatea investițională.</w:t>
            </w:r>
          </w:p>
          <w:p w14:paraId="5ACCEE8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 cadrul UE nu există limitări în recuperarea sumelor TVA acumulate din trecerea în cont, nici după sursa de formare și nici după domeniul de activitate. RM este unica țară care limitează dreptul la recuperarea TVA. În context, atragem atenția asupra faptului că, potrivit Directivei 2006/112/CE, subiectul impozabil are dreptul la restituirea TVA atunci când valoarea deducerilor depășește valoarea TVA datorate. Normele existente în Codul fiscal nu sunt aliniate principiului neutralității taxei prevăzut de Directiva 2006/112/CE, potrivit căreia regimul de deduceri vizează eliberarea integrală a persoanei impozabile de sarcina TVA datorate sau achitate în cadrul tuturor activităților sale economice, indiferent de scopurile sau de rezultatele acestor activități. Statele membre pot refuza rambursarea sau reportarea doar în cazul în care valoarea excedentului este nesemnificativă.</w:t>
            </w:r>
          </w:p>
          <w:p w14:paraId="02E89E7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Sistemul comun al TVA garantează, prin urmare, neutralitatea în ceea ce privește sarcina fiscală corespunzătoare tuturor activităților economice, indiferent de finalitatea sau de rezultatele acestora, cu condiția ca activitățile menționate să fie, în principiu, ele însele supuse TVA. Dreptul de deducere și, prin urmare, la rambursare face parte integrantă din mecanismul TVA, care, în principiu, nu poate fi limitat.</w:t>
            </w:r>
          </w:p>
          <w:p w14:paraId="3114361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Potrivit celor mai recente date, suma creanței fiscale ce urmează a fi recuperată din buget (TVA spre deducere) înregistrată de companiile din RM, constituie circa 10.6 mlrd lei. Această valoare reprezintă, în esență, o formă de creditare a statului de către aceste companii și care nu poate fi restituită titularilor datorită obstrucționării acestui drept prin legislație (restricționarea dreptului de restituire a TVA). Prin această formă de restricție, statul nu doar că limitează accesul la mijloacele circulante ale contribuabililor, dar și impune un cost adițional eventual pe seama acestora, generat de nevoia de a accesa credite sau alte forme de împrumut pentru necesitățile de afaceri operaționale.</w:t>
            </w:r>
          </w:p>
          <w:p w14:paraId="6F6CCC2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1.2) Implementarea sistemului TVA la încasare pentru agenți economici mici/mijlocii</w:t>
            </w:r>
          </w:p>
          <w:p w14:paraId="3BE1E2C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Demografia întreprinderilor din RM este caracterizată de o rată scăzută a inițierii afacerilor, dar și de un nivel extrem de scăzut de supraviețuire a întreprinderilor mici. Potrivit statisticilor oficiale, mai puțin de jumătate dintre întreprinderile nou înființate reușesc să supraviețuiască la doi ani de la înființare. Rata de </w:t>
            </w:r>
            <w:r w:rsidRPr="00502787">
              <w:rPr>
                <w:rFonts w:ascii="Times New Roman" w:eastAsiaTheme="minorEastAsia" w:hAnsi="Times New Roman" w:cs="Times New Roman"/>
                <w:sz w:val="20"/>
                <w:szCs w:val="20"/>
                <w:lang w:val="ro-MD"/>
              </w:rPr>
              <w:lastRenderedPageBreak/>
              <w:t>supraviețuire după 1 an este de circa 44,2%, iar rata de supraviețuire după 2 ani – circa 40,9%. Spre comparație, în UE rata de supraviețuire în următorul an după înființare este de 80%, iar în medie, jumătate dintre întreprinderi reușesc să supraviețuiască după 5 ani. Firmele mici sunt de obicei mult mai fragile din punct de vedere financiar și nu dispun de lichidități suficiente ca în cazul firmele mai mari, fapt care le face extrem de vulnerabile și mai puțin rezistente la crize. Directiva 2006/112/EC include o măsură de sprijin extrem de importantă pentru IMM, în condițiile în care Statele Membre pot prevedea ca TVA să devină exigibilă la data încasării contravalorii bunurilor livrate sau serviciilor prestate de IMM (sistemul TVA la încasare). Sistemul TVA la încasare constă în faptul că atât plata cât și deducerea TVA este amânată până la data încasării clienților respectiv plății furnizorilor. La nivelul UE, acest sistem este unul opțional, fiind însă aplicat pe larg de mai multe state membre. Implementarea acestui sistem permite companiilor care nu depășesc plafonul anual prestabilit al cifrei de afaceri să efectueze plata TVA la momentul încasării creanțelor. Potrivit unui Studiu2 elaborat la nivelul Uniunii, Statele membre UE au optat pentru sau au sporit implementarea sistemul de TVA la încasare în ultimii ani. Mai mult, potrivit acestui Studiu mai multe state membre ar fi introdus sistemul de TVA la încasare ca răspuns la criza financiară, chiar dacă articolul 167a nu ar fi fost aprobat prin Directivă. Valoarea adăugată estimată, la acel moment, la nivelul UE din implementarea sistemului TVA la încasare constituia circa 18 milioane EUR.</w:t>
            </w:r>
          </w:p>
          <w:p w14:paraId="63C656B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Introducerea unui astfel de sistem în RM a fost solicitată de comunitatea de afaceri de nenumărate ori, fiind urmărite crearea premiselor privind relansarea creșterii economice, a investițiilor, diminuarea șomajului, sporirea competitivității RM în vederea atragerii de investiții străine directe. Instituirea unui astfel de sistem va duce la stimularea întreprinderilor mici prin implementarea unui cadru fiscal care să sprijine redresarea acestora și care întâmpină dificultăți din punct de vedere financiar datorită lipsei de lichidități.</w:t>
            </w:r>
          </w:p>
          <w:p w14:paraId="4AFA9E6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1.3) Posibilitatea emiterii facturii fiscale pentru avansuri cu exercitarea concomitentă a dreptului de deducere a TVA aferentă avansurilor</w:t>
            </w:r>
          </w:p>
          <w:p w14:paraId="0B9C888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Codul fiscal al RM, deși instituie obligația calculării TVA pentru avansurile încasate, amână dreptul deducerii TVA pentru avansurile plătite la o etapă ulterioară i.e. în momentul livrării mărfurilor/ prestării serviciilor (atunci când cumpărătorul va dispune de factura fiscală emisă de furnizor prin care se confirmă livrarea mărfurilor/prestarea serviciilor). Un astfel de impediment creează obstacole în operarea afacerilor și nu asigură principiul neutralității taxei prevăzut de legislația comunitară. Potrivit Directivei 2006/112/EC dreptul de deducere ia naștere în momentul în care TVA deductibilă devine exigibilă. Exemplu elocvent de implementare a principiului prevăzut de Directivă poate servi și legislația României potrivit căreia, persoana impozabilă sau persoana juridică neimpozabilă, obligată la plata TVA, trebuie să autofactureze suma avansurilor plătite cel târziu până în cea de-a 15-a zi a lunii următoare celei în care a plătit avansurile, în cazul în care persoana respectivă nu se află în posesia facturii emise </w:t>
            </w:r>
            <w:r w:rsidRPr="00502787">
              <w:rPr>
                <w:rFonts w:ascii="Times New Roman" w:eastAsiaTheme="minorEastAsia" w:hAnsi="Times New Roman" w:cs="Times New Roman"/>
                <w:sz w:val="20"/>
                <w:szCs w:val="20"/>
                <w:lang w:val="ro-MD"/>
              </w:rPr>
              <w:lastRenderedPageBreak/>
              <w:t>de furnizor/prestator, cu excepția situației în care faptul generator de taxă a intervenit în aceeași lună. Astfel, pornind de la cadrul legislativ aplicabil în UE în materie de percepere/deducere TVA, se propune implementarea dreptul de deducere a sumei TVA aferentă avansurilor concomitent cu apariția obligației de a calcula TVA aferentă avansurilor. Această măsură, de asemenea, va consolida poziția financiară a companiilor, încurajându-le să investească mai mult.</w:t>
            </w:r>
          </w:p>
          <w:p w14:paraId="0F2F519B" w14:textId="77777777" w:rsidR="00F3660E" w:rsidRPr="00502787" w:rsidRDefault="00F3660E" w:rsidP="00502787">
            <w:pPr>
              <w:jc w:val="both"/>
              <w:rPr>
                <w:rFonts w:ascii="Times New Roman" w:hAnsi="Times New Roman" w:cs="Times New Roman"/>
                <w:sz w:val="20"/>
                <w:szCs w:val="20"/>
                <w:lang w:val="ro-MD"/>
              </w:rPr>
            </w:pPr>
          </w:p>
        </w:tc>
        <w:tc>
          <w:tcPr>
            <w:tcW w:w="4819" w:type="dxa"/>
            <w:vMerge w:val="restart"/>
          </w:tcPr>
          <w:p w14:paraId="255A6C9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Finanțelor</w:t>
            </w:r>
          </w:p>
          <w:p w14:paraId="527E6250" w14:textId="5DCC9F6A"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Propunerile se vor examina în cadrul exercițiului de transpunere a directivei 112/2006 privind TVA, proces în cadrul căruia se va examina oportunitatea preluării practicilor UE.</w:t>
            </w:r>
          </w:p>
        </w:tc>
      </w:tr>
      <w:tr w:rsidR="0024020C" w:rsidRPr="00502787" w14:paraId="37B933B6" w14:textId="77777777">
        <w:trPr>
          <w:trHeight w:val="1499"/>
        </w:trPr>
        <w:tc>
          <w:tcPr>
            <w:tcW w:w="556" w:type="dxa"/>
            <w:vMerge w:val="restart"/>
          </w:tcPr>
          <w:p w14:paraId="57A77BE5"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4F48E711"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3AD5601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By Dec 2025 Harmonization of the conditions related to VAT reimbursement in line with the principle of taxnneutrality provided by Directive 2006/112/CE on the common system of value added tax.</w:t>
            </w:r>
          </w:p>
          <w:p w14:paraId="26D39E2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 The approximation ofnMoldovan VAT legislations with those of the EU is necessary to 1) the harmonization of the conditions related to</w:t>
            </w:r>
          </w:p>
          <w:p w14:paraId="1F66410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VAT reimbursement, 2) the implementation of the VAT system on</w:t>
            </w:r>
          </w:p>
          <w:p w14:paraId="30D9E97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receipt for SMEs and 3) the possibility of issuing tax invoices for advances with the simultaneous exercise of the right to deduct VAT related to advances. These measures will help align national tax legislation</w:t>
            </w:r>
          </w:p>
          <w:p w14:paraId="32DD282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with the principle of tax neutrality established by EU regulations. Additionally, they will create the conditions necessary to stimulate economic growth, attract investment, reduce unemployment, and enhance Moldova’s competitiveness in order to attract foreign direct investment.</w:t>
            </w:r>
          </w:p>
          <w:p w14:paraId="69596DE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Source of verification: draft law approved by the Parliament</w:t>
            </w:r>
          </w:p>
        </w:tc>
        <w:tc>
          <w:tcPr>
            <w:tcW w:w="4819" w:type="dxa"/>
            <w:vMerge w:val="restart"/>
          </w:tcPr>
          <w:p w14:paraId="26DA10A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Finanțelor</w:t>
            </w:r>
          </w:p>
          <w:p w14:paraId="5A20CF2F" w14:textId="0EB8B26F" w:rsidR="00F3660E" w:rsidRPr="00502787" w:rsidRDefault="00BA7DD7"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Propunerile se vor examina în cadrul exercițiului de transpunere a directivei 112/2006 privind TVA, proces în cadrul căruia se va examina oportunitatea preluării practicilor UE</w:t>
            </w:r>
          </w:p>
        </w:tc>
      </w:tr>
      <w:tr w:rsidR="0024020C" w:rsidRPr="00502787" w14:paraId="68733CF2" w14:textId="77777777">
        <w:trPr>
          <w:trHeight w:val="562"/>
        </w:trPr>
        <w:tc>
          <w:tcPr>
            <w:tcW w:w="556" w:type="dxa"/>
            <w:vMerge w:val="restart"/>
          </w:tcPr>
          <w:p w14:paraId="5701ADB3"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6718B09"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CEFBE6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 Implementarea măsurilor fiscale menite să sprijine activitatea investițională</w:t>
            </w:r>
          </w:p>
          <w:p w14:paraId="146818B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2.1) Stabilirea condițiilor similare de impozitare a venitului investițional </w:t>
            </w:r>
          </w:p>
          <w:p w14:paraId="7888C6D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Codul fiscal include abordări discriminatorii în funcție de sursa de proveniență a venitului (obținut din străinătate versus din RM), precum și de statutul plătitorului de venit. Impunerea unor norme discriminatorii de impozitare a venitului, pe baza sursei de proveniență a acestuia, cât și a statutului plătitorului de venituri, reprezintă o măsură abuzivă, care contravine principiului egalității/nediscriminării și principiului așezării juste și echitabile a sarcinii fiscale. </w:t>
            </w:r>
          </w:p>
          <w:p w14:paraId="3242412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Modul în care este construită abordarea fiscală actuală descurajează investițiile îninstrumente, altele decât cele emise de stat/APL, precum și scad din atractivitatea potențialului investițional în străinătate. În context, merită subliniat faptul că veniturile investiționale/financiare obținute din străinătate sunt repatriate și impozitate în RM. Pe cale de consecință, acestea reprezintă un beneficiu economic considerabil pentru RM, susținând economia națională și contribuind la acumularea surselor la bugetul public național. Dreptul contribuabililor de a beneficia de aceleași cote de impozitare a venitului, urmează a fi aplicat, în egală măsură, indiferent de sursa de proveniență a acestuia.</w:t>
            </w:r>
          </w:p>
          <w:p w14:paraId="32CAAE5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2.2) Restabilirea conceptului de ”creștere de capital” pentru persoanele juridice</w:t>
            </w:r>
          </w:p>
          <w:p w14:paraId="248E2CE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Legislația fiscală include condiții inechitabile în raport cu sarcina fiscală aplicabilă creșterii de capital, în funcție de titularul venitului. Prevederile actuale ale Codului fiscal nu încurajează activitatea investițională a companiilor, o astfel de facilitate fiind oferită doar persoanelor fizice. În context, merită subliniat faptul că noțiunea de ”creștere de capital” a fost introdusă începând cu intrarea în vigoare a Titlului II al Codului fiscal, din 1 ianuarie 1998, fiind aplicabilă, în egală măsură, persoanelor juridice și fizice rezidente. Începând, însă, cu 1 ianuarie 2020, creșterea de capital este aplicabilă doar persoanelor fizice rezidente şi nerezidente ai RM. Respectiv, persoanele juridice rezidente au fost excluse din lista subiecților creșterii sau pierderii de capital, fiindu-le aplicabil regimul general de impozitare a venitului. Contrar scopului anunțat de legiuitor la momentul promovării amendamentului susmenționat, aplicabil din 2020, o astfel de măsură nu și-a găsit reflecția așteptată, în condițiile în care, prin efectele acestei măsuri, nu a fost simplificată administrarea fiscală și nu a crescut gradul de conformare prin generarea veniturilor bugetare suplimentare. Or, este evident faptul că, prin excluderea unei astfel de facilități, extrem de importantă pentru companii, presiunea fiscală aferentă venitului investițional a crescut de două ori, fapt care nu motivează amplificarea activității investiționale. Companiile au fost nevoite, mai degrabă, să adopte măsuri de planificare strategică și să-și revizuiască strategiile de investiții. Investițiile și inovarea sunt deosebit de importante pentru stimularea creșterii economice pe termen lung. Impozitarea excesivă a creșterii de capital reduce investițiile, distorsionează alocarea resurselor și reduce eforturile companiilor de a valorifica pe deplin potențialul investițional. Astfel, introducerea acelorași reguli de impozitare pentru persoanele juridice (aplicabile la moment doar persoanelor fizice), în raport cu veniturile investiționale (creșterea de capital) ar reprezenta un pas ferm spre stimularea activității investiționale, eliminarea discrepanțelor existente la moment în legislație, dar și ar contribui la planurile de relansare economică anunțate de Guvern.</w:t>
            </w:r>
          </w:p>
          <w:p w14:paraId="7D5D345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By dec 2025 Amendment of the tax legislation by establishing similar conditions for income taxation (regardless of the source). Also, amendments are needed to introduce the same taxation rules for legal entities (currently applicable only to natural persons), in relation to investment income (capital increase).</w:t>
            </w:r>
          </w:p>
          <w:p w14:paraId="7BAED88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 The amendment of the Tax Code will ensure the pursuit of the justified economic purpose and the legitimate expectation of all taxpayers to carry out the investment/financial activity under equal conditions and the protection of fair competition. It would also represent a firm step towards stimulating investment activity, eliminating the discrepancies currently existing in the legislation, and would contribute to the economic recovery plans of the Government of the Republic of Moldova.</w:t>
            </w:r>
          </w:p>
          <w:p w14:paraId="7DB6BA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Source of verification: draft law approved by the Parliament</w:t>
            </w:r>
          </w:p>
        </w:tc>
        <w:tc>
          <w:tcPr>
            <w:tcW w:w="4819" w:type="dxa"/>
            <w:vMerge w:val="restart"/>
          </w:tcPr>
          <w:p w14:paraId="662502E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Finanțelor</w:t>
            </w:r>
          </w:p>
          <w:p w14:paraId="34EE03DB" w14:textId="65C8A847" w:rsidR="00F3660E" w:rsidRPr="00502787" w:rsidRDefault="00BA7DD7"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Propunerile se vor examina în cadrul exercițiului de transpunere a directivei 112/2006 privind TVA, proces în cadrul căruia se va examina oportunitatea preluării practicilor UE</w:t>
            </w:r>
          </w:p>
          <w:p w14:paraId="46CAAD9D"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0E2935A1" w14:textId="77777777">
        <w:trPr>
          <w:trHeight w:val="562"/>
        </w:trPr>
        <w:tc>
          <w:tcPr>
            <w:tcW w:w="556" w:type="dxa"/>
            <w:vMerge w:val="restart"/>
          </w:tcPr>
          <w:p w14:paraId="27F5F2BF"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216E5345"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207D354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 Asigurarea respectării regulilor de concurență loială în privința activității întreprinderilor de stat</w:t>
            </w:r>
          </w:p>
          <w:p w14:paraId="7E722CB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Considerăm că gestiunea întreprinderilor de stat în conformitate cu regulile generale ale concurenței reprezintă un element esențial ce trebuie inclus în Planul de Creștere al țării. În acest context, considerăm necesar ca Planul de Creștere să prevadă măsuri care să garanteze aplicarea regulii transparenței în structurile de costuri și prețuri ale întreprinderilor de stat. Acest lucru va preveni subvenționarea indirectă a activităților acestora de către stat și va asigura un mediu concurențial echitabil pe piață. Mai mult, este important ca întreprinderile de stat să beneficieze de un tratament egal în relația cu autoritățile publice, în ceea ce privește serviciile prestate, pentru a evita orice favoare sau discriminare care ar putea afecta piața și dezvoltarea economică a țării. O astfel de abordare va sprijini creșterea sustenabilă a economiei, promovând un mediu de afaceri corect și favorabil investițiilor.</w:t>
            </w:r>
          </w:p>
          <w:p w14:paraId="7D29C08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Ensuring compliance with competition rules in the SOE sector</w:t>
            </w:r>
          </w:p>
          <w:p w14:paraId="45CC758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 1.  Establish transparent cost and pricing structures: Introduce clear regulations that mandate SOEs to publicly disclose their cost structures and pricing mechanisms.</w:t>
            </w:r>
          </w:p>
          <w:p w14:paraId="4FC59E9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 Strengthen oversight: Implement an oversight mechanism to ensure that SOE pricing and cost structures align with competitive market standards ad that they do not unduly rely on state funding.</w:t>
            </w:r>
          </w:p>
          <w:p w14:paraId="6B6141C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 Promote equal treatment with private-sector entities: Ensure that SOEs are treated equally in terms of services provided by public authorities to prevent any undue advantages for SOEs over private companies and encourage fair competition.</w:t>
            </w:r>
          </w:p>
          <w:p w14:paraId="0D2510A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4. Enforce anti-subsidization rules: Implement regulations to eliminate any latent or indirect state subsidies to SOEs, ensuring that these enterprises are selfsustaining and compete on equal terms with private enterprises.</w:t>
            </w:r>
          </w:p>
        </w:tc>
        <w:tc>
          <w:tcPr>
            <w:tcW w:w="4819" w:type="dxa"/>
            <w:vMerge w:val="restart"/>
          </w:tcPr>
          <w:p w14:paraId="47B1E19E" w14:textId="28BD857E" w:rsidR="00F3660E" w:rsidRPr="00502787" w:rsidRDefault="00BA7DD7"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Propunerile vor fi luate în considerare în elaborare politicilor de dezvotare a sectorului respectiv</w:t>
            </w:r>
          </w:p>
        </w:tc>
      </w:tr>
      <w:tr w:rsidR="0024020C" w:rsidRPr="00502787" w14:paraId="6FD3CD82" w14:textId="77777777">
        <w:trPr>
          <w:trHeight w:val="562"/>
        </w:trPr>
        <w:tc>
          <w:tcPr>
            <w:tcW w:w="556" w:type="dxa"/>
            <w:vMerge w:val="restart"/>
          </w:tcPr>
          <w:p w14:paraId="5DFB230D"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67C811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7171214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5: Tranziția Verde/Capitalul Natural</w:t>
            </w:r>
          </w:p>
          <w:p w14:paraId="1C15828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Cu privire la reforma Environment protection and climate actions (acțiunea nr. 1/4) este necesară clarificare în sensul dacă acest angajament ar include crearea unei piețe a carbonului? Am sugera includerea unui obiectiv pentru crearea unei piețe a carbonului, care este un sistem în care creditele sau permisele de carbon sunt cumpărate și vândute în scopul reducerii emisiilor de gaze cu efect de seră (GES). Piețele de carbon ar crește numărul de proiecte de mediu în Moldova și ar atrage capital străin către entitățile moldovenești (operatori de proiecte de mediu) de la cumpărătorii străini ai creditelor de carbon.</w:t>
            </w:r>
          </w:p>
        </w:tc>
        <w:tc>
          <w:tcPr>
            <w:tcW w:w="4819" w:type="dxa"/>
            <w:vMerge w:val="restart"/>
          </w:tcPr>
          <w:p w14:paraId="003DF6B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Mediului</w:t>
            </w:r>
          </w:p>
          <w:p w14:paraId="642EE41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Acțiunea nr. 1/4</w:t>
            </w:r>
            <w:r w:rsidRPr="00502787">
              <w:rPr>
                <w:rFonts w:ascii="Times New Roman" w:hAnsi="Times New Roman" w:cs="Times New Roman"/>
                <w:sz w:val="20"/>
                <w:szCs w:val="20"/>
                <w:lang w:val="ro-MD"/>
              </w:rPr>
              <w:t xml:space="preserve">  nu include în sine și aspecte cu referire la prețul Carbonului și crearea unei piețe a carbonului.</w:t>
            </w:r>
          </w:p>
          <w:p w14:paraId="75F0E167" w14:textId="77777777" w:rsidR="00F3660E" w:rsidRPr="00502787" w:rsidRDefault="00F3660E" w:rsidP="00502787">
            <w:pPr>
              <w:jc w:val="both"/>
              <w:rPr>
                <w:rFonts w:ascii="Times New Roman" w:hAnsi="Times New Roman" w:cs="Times New Roman"/>
                <w:sz w:val="20"/>
                <w:szCs w:val="20"/>
                <w:lang w:val="ro-MD"/>
              </w:rPr>
            </w:pPr>
          </w:p>
          <w:p w14:paraId="35042A9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Considerăm relevantă propunerea, dar la moment nu se acceptă pentru includerea în Agenda de reforme, dat fiind faptul că Republica Moldova nu este pregătite să pună în aplicare un astfel de sistem.  Crearea pieței carbonului ar necesita un cadru legislativ și instituțional special, aliniat la mecanismele internaționale de piață a carbonului, și implementarea acestuia, ceea ce presupune o presiune asupra întreprinderilor de a se conforma la cerințele de monotirizare a emisiilor (instalarea sistemelor autonome de monitorizare a emisiilor, crearea sistemului de raportare etc). Cu toate acestea, chiar dacă obiectivul nu </w:t>
            </w:r>
            <w:r w:rsidRPr="00502787">
              <w:rPr>
                <w:rFonts w:ascii="Times New Roman" w:hAnsi="Times New Roman" w:cs="Times New Roman"/>
                <w:sz w:val="20"/>
                <w:szCs w:val="20"/>
                <w:lang w:val="ro-MD"/>
              </w:rPr>
              <w:lastRenderedPageBreak/>
              <w:t>este menționat direct în Agenda de Reforme, Ministerul Mediului a inițiat discuții și acțiuni pentru a pregăti terenul către implementarea unui astfel de mecanism.</w:t>
            </w:r>
          </w:p>
          <w:p w14:paraId="7BE304E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 În calitate de parte la Convenția-cadru a Națiunilor Unite privind Schimbările Climatice (CONUSC), Republica Moldova are obiective climatice ambițioase și se angajează să reducă emisiile de carbon în conformitate cu obiectivele globale ale Acordului de la Paris.</w:t>
            </w:r>
          </w:p>
          <w:p w14:paraId="4F40CDA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acest sens, Legea nr. 74/23024 privind acțiunile climatice introduce prin articolul 56. Mecanismul financiar de stabilire a prețului pentru emisiile de CO2. </w:t>
            </w:r>
          </w:p>
          <w:p w14:paraId="041EDD6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Având în vedere că legea urmează să intre în vigoare în luna noiembrie 2025, Ministerul Mediului este în prezent în proces de elaborare a reglementărilor specifice pentru implementarea dispozițiilor prevăzute la articolul menționat anterior.</w:t>
            </w:r>
          </w:p>
          <w:p w14:paraId="2F1FBE49"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5255B841" w14:textId="77777777">
        <w:trPr>
          <w:trHeight w:val="4050"/>
        </w:trPr>
        <w:tc>
          <w:tcPr>
            <w:tcW w:w="556" w:type="dxa"/>
            <w:vMerge w:val="restart"/>
          </w:tcPr>
          <w:p w14:paraId="2B7FF002"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6275943"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0E9845B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Pilonul 6: Securitate și Eficiență Energetică</w:t>
            </w:r>
          </w:p>
          <w:p w14:paraId="02B675C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Măsuri ce țin de stimularea tehnologiilor de valorificare a energiei regenerabile/decarbonizarea sectorului energetic</w:t>
            </w:r>
          </w:p>
          <w:p w14:paraId="2CD17BB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Republica Moldova necesită stringent un domeniu energetic care să asigure securitatea aprovizionării cu resurse energetice și să sprijine obiectivele sale de dezvoltare durabilă. În acest sens, se impune necesitatea oferirii unor facilități fiscale, țintite să sprijine investițiile în capacități de producție de energie regenerabilă, să dezvolte tehnologii inovatoare care să asigure o economie cu emisii reduse de carbon și o adaptare la provocările generate de schimbările climatice. Astfel, date fiind vulnerabilitățile din sectorul energetic, dar și angajamentele asumate de Republica Moldova în contextul statutului de stat candidat, propunem următoarele măsuri în vederea stimulării tehnologiilor de valorificare a energiei regenerabile/decarbonizarea sectorului energetic:</w:t>
            </w:r>
          </w:p>
          <w:p w14:paraId="7B849B5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Scutirea/reducerea de TVA și eliminarea taxei vamale pentru echipamentele de producere și stocare a energiei electrice (panouri fotovoltaice, invertoare, baterii de stocare, turbine eoliene). Această măsură va accelera dezvoltarea regenerabilelor pentru propriul consum, nefiind aplicabil pe moment nici un mecanism de sprijin, precum si va contribui la reducerea costurilor pentru producătorii de energie.</w:t>
            </w:r>
          </w:p>
          <w:p w14:paraId="294914E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Deducerea accelerată pentru investițiile în infrastructura ecologică. Deprecierea accelerată a investițiilor poate fi o măsură fundamentală pentru susținerea tranziției companiilor către o economie circulară, or, potrivit unor cercetări valoarea investițiilor efectuate de întreprinderi crește odată cu creșterea ratei de amortizare. Astfel, se propune ca investițiile în tehnologii ecologice să poată beneficia de o depreciere accelerată și care ar permite investitorilor să deducă </w:t>
            </w:r>
            <w:r w:rsidRPr="00502787">
              <w:rPr>
                <w:rFonts w:ascii="Times New Roman" w:eastAsiaTheme="minorEastAsia" w:hAnsi="Times New Roman" w:cs="Times New Roman"/>
                <w:sz w:val="20"/>
                <w:szCs w:val="20"/>
                <w:lang w:val="ro-MD"/>
              </w:rPr>
              <w:lastRenderedPageBreak/>
              <w:t>până la 100% din investiția în proiecte de energie regenerabilă în primul an de punere în exploatare.</w:t>
            </w:r>
          </w:p>
          <w:p w14:paraId="73B2CA5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Scutirea/reducerea impozitului pe bunurile imobiliare pentru clădirile ce au surse regenerabile de producere a energiei. Scopul acestei măsuri este de a încuraja cetățenii, dar și mediul de afaceri să investească în surse de energie regenerabilă. Astfel, APL pot hotărî să acorde scutirea sau reducerea impozitului pentru clădirile noi sau reabilitate, pentru care proprietarii au executat, pe cheltuială proprie, lucrări pentru creșterea performanței energetice, pentru instalarea de sisteme de producere a energiei electrice din surse fotovoltaice sau pentru sisteme ecologice certificate de colectare și tratare a apelor uzate rezultate din consumul propriu. Scutirea/reducerea impozitului pe bunurile imobiliare este o măsură des întâlnită în străinătate.</w:t>
            </w:r>
          </w:p>
          <w:p w14:paraId="2D0933D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By June 2027  Gas market opened to all customers</w:t>
            </w:r>
          </w:p>
          <w:p w14:paraId="5516767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Baseline: existing legal framework</w:t>
            </w:r>
          </w:p>
          <w:p w14:paraId="59CC091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 All consumers could procure gas at the open gas market as of 1 January 2027. This requires changes in the PSO scope which could be achieved by the amendment of the Gas law 2016/108. This action will ensure that the market is open for all suppliers and customers whilst protecting only except households and essential social services, in line with art 3 of the Gas Directive.</w:t>
            </w:r>
          </w:p>
          <w:p w14:paraId="0385072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Source of verification: the amendment is adopted by the Parliament</w:t>
            </w:r>
          </w:p>
        </w:tc>
        <w:tc>
          <w:tcPr>
            <w:tcW w:w="4819" w:type="dxa"/>
            <w:vMerge w:val="restart"/>
          </w:tcPr>
          <w:p w14:paraId="0A550C16" w14:textId="018E1EE1" w:rsidR="00F3660E" w:rsidRPr="00502787" w:rsidRDefault="00F3660E" w:rsidP="00502787">
            <w:pPr>
              <w:jc w:val="both"/>
              <w:rPr>
                <w:rFonts w:ascii="Times New Roman" w:hAnsi="Times New Roman" w:cs="Times New Roman"/>
                <w:sz w:val="20"/>
                <w:szCs w:val="20"/>
                <w:lang w:val="ro-MD"/>
              </w:rPr>
            </w:pPr>
          </w:p>
          <w:p w14:paraId="414FC56E" w14:textId="682E39D2" w:rsidR="00BA7DD7" w:rsidRPr="00502787" w:rsidRDefault="00BA7DD7"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Mnisteru Finanțelor</w:t>
            </w:r>
          </w:p>
          <w:p w14:paraId="25781247" w14:textId="6915C9F6"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această etapă, propunerea nu se susține, având în vedere că nu este clar care va fi impactul bugetar.</w:t>
            </w:r>
          </w:p>
          <w:p w14:paraId="0A620038" w14:textId="10065182"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Energiei: în procesul de elaborare a propunerilor la politica bugetar fiscală a adresat Ministerului Finanțelor propuneri de aplicarea a taxelor reduse la TVA și Taxe vamale de import pentru baterii de stocare a energiei electrice, invertoare, stații de încărcare a vehiculelor electrice, turbine eoliene. Cu toate acestea propunerile înaintate nu au fost susținute. </w:t>
            </w:r>
          </w:p>
          <w:p w14:paraId="245E4261" w14:textId="460E058E" w:rsidR="00F3660E" w:rsidRPr="00502787" w:rsidRDefault="00F3660E" w:rsidP="00502787">
            <w:pPr>
              <w:jc w:val="both"/>
              <w:rPr>
                <w:rFonts w:ascii="Times New Roman" w:hAnsi="Times New Roman" w:cs="Times New Roman"/>
                <w:sz w:val="20"/>
                <w:szCs w:val="20"/>
                <w:lang w:val="ro-MD"/>
              </w:rPr>
            </w:pPr>
          </w:p>
          <w:p w14:paraId="6415209B" w14:textId="77777777" w:rsidR="00463565" w:rsidRPr="00502787" w:rsidRDefault="00463565" w:rsidP="00502787">
            <w:pPr>
              <w:jc w:val="both"/>
              <w:rPr>
                <w:rFonts w:ascii="Times New Roman" w:hAnsi="Times New Roman" w:cs="Times New Roman"/>
                <w:sz w:val="20"/>
                <w:szCs w:val="20"/>
                <w:lang w:val="ro-MD"/>
              </w:rPr>
            </w:pPr>
          </w:p>
          <w:p w14:paraId="5FFA005D" w14:textId="77777777" w:rsidR="00463565" w:rsidRPr="00502787" w:rsidRDefault="00463565" w:rsidP="00502787">
            <w:pPr>
              <w:jc w:val="both"/>
              <w:rPr>
                <w:rFonts w:ascii="Times New Roman" w:hAnsi="Times New Roman" w:cs="Times New Roman"/>
                <w:sz w:val="20"/>
                <w:szCs w:val="20"/>
                <w:lang w:val="ro-MD"/>
              </w:rPr>
            </w:pPr>
          </w:p>
          <w:p w14:paraId="5B75AB7E" w14:textId="77777777" w:rsidR="00463565" w:rsidRPr="00502787" w:rsidRDefault="00463565" w:rsidP="00502787">
            <w:pPr>
              <w:jc w:val="both"/>
              <w:rPr>
                <w:rFonts w:ascii="Times New Roman" w:hAnsi="Times New Roman" w:cs="Times New Roman"/>
                <w:sz w:val="20"/>
                <w:szCs w:val="20"/>
                <w:lang w:val="ro-MD"/>
              </w:rPr>
            </w:pPr>
          </w:p>
          <w:p w14:paraId="726B0409" w14:textId="77777777" w:rsidR="00463565" w:rsidRPr="00502787" w:rsidRDefault="00463565" w:rsidP="00502787">
            <w:pPr>
              <w:jc w:val="both"/>
              <w:rPr>
                <w:rFonts w:ascii="Times New Roman" w:hAnsi="Times New Roman" w:cs="Times New Roman"/>
                <w:sz w:val="20"/>
                <w:szCs w:val="20"/>
                <w:lang w:val="ro-MD"/>
              </w:rPr>
            </w:pPr>
          </w:p>
          <w:p w14:paraId="63C4D54B" w14:textId="77777777" w:rsidR="00463565" w:rsidRPr="00502787" w:rsidRDefault="00463565" w:rsidP="00502787">
            <w:pPr>
              <w:jc w:val="both"/>
              <w:rPr>
                <w:rFonts w:ascii="Times New Roman" w:hAnsi="Times New Roman" w:cs="Times New Roman"/>
                <w:sz w:val="20"/>
                <w:szCs w:val="20"/>
                <w:lang w:val="ro-MD"/>
              </w:rPr>
            </w:pPr>
          </w:p>
          <w:p w14:paraId="1917C961" w14:textId="77777777" w:rsidR="00463565" w:rsidRPr="00502787" w:rsidRDefault="00463565" w:rsidP="00502787">
            <w:pPr>
              <w:jc w:val="both"/>
              <w:rPr>
                <w:rFonts w:ascii="Times New Roman" w:hAnsi="Times New Roman" w:cs="Times New Roman"/>
                <w:sz w:val="20"/>
                <w:szCs w:val="20"/>
                <w:lang w:val="ro-MD"/>
              </w:rPr>
            </w:pPr>
          </w:p>
          <w:p w14:paraId="57EDFC42" w14:textId="0A67B0AE" w:rsidR="00463565" w:rsidRPr="00502787" w:rsidRDefault="00463565"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Măsura este prevăzută la acțiunea 2/8 din Planul de Reformă.</w:t>
            </w:r>
          </w:p>
          <w:p w14:paraId="26D4F207" w14:textId="5FF3525B" w:rsidR="00463565" w:rsidRPr="00502787" w:rsidRDefault="00463565"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În urma efectuării unei analize a pieței cu amănuntul a gazelor naturale, ANRE, în termen de până la 1 ianuarie 2026, va stabili un calendar privind ieșirea consumatorilor noncasnici mari și mijlocii pe piața gazelor naturale (achiziționarea gazelor naturale la prețuri negociate), fără a mai putea beneficia de furnizarea gazelor naturale în </w:t>
            </w:r>
            <w:r w:rsidRPr="00502787">
              <w:rPr>
                <w:rFonts w:ascii="Times New Roman" w:hAnsi="Times New Roman" w:cs="Times New Roman"/>
                <w:sz w:val="20"/>
                <w:szCs w:val="20"/>
                <w:lang w:val="ro-MD"/>
              </w:rPr>
              <w:lastRenderedPageBreak/>
              <w:t>contextul obligației de serviciu public prevăzute la articolul 89 din Legea 108/2016 cu privire la gazele naturale.</w:t>
            </w:r>
          </w:p>
        </w:tc>
      </w:tr>
      <w:tr w:rsidR="0024020C" w:rsidRPr="00502787" w14:paraId="4B0B8DB8" w14:textId="77777777">
        <w:trPr>
          <w:trHeight w:val="491"/>
        </w:trPr>
        <w:tc>
          <w:tcPr>
            <w:tcW w:w="556" w:type="dxa"/>
            <w:vMerge w:val="restart"/>
          </w:tcPr>
          <w:p w14:paraId="3D8A7AEB"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49A530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2F6FFC3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Măsură propusă: by Dec 2025 Measures to support citizens and the business environment in the form of fiscal facilities, aimed at supporting</w:t>
            </w:r>
          </w:p>
          <w:p w14:paraId="762BF7E3" w14:textId="14AB59DC"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investments in renewable energy production capacities, developing innovative technologies to ensure an eco</w:t>
            </w:r>
            <w:r w:rsidR="00463565" w:rsidRPr="00502787">
              <w:rPr>
                <w:rFonts w:ascii="Times New Roman" w:eastAsiaTheme="minorEastAsia" w:hAnsi="Times New Roman" w:cs="Times New Roman"/>
                <w:sz w:val="20"/>
                <w:szCs w:val="20"/>
                <w:lang w:val="ro-MD"/>
              </w:rPr>
              <w:t>f</w:t>
            </w:r>
            <w:r w:rsidRPr="00502787">
              <w:rPr>
                <w:rFonts w:ascii="Times New Roman" w:eastAsiaTheme="minorEastAsia" w:hAnsi="Times New Roman" w:cs="Times New Roman"/>
                <w:sz w:val="20"/>
                <w:szCs w:val="20"/>
                <w:lang w:val="ro-MD"/>
              </w:rPr>
              <w:t>nomy with low carbon emissions and an adaptation to the challenges generated by climate change.</w:t>
            </w:r>
          </w:p>
          <w:p w14:paraId="0FD1AFD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Baseline: no such incentives in place.</w:t>
            </w:r>
          </w:p>
          <w:p w14:paraId="7A54501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Descriere: </w:t>
            </w:r>
            <w:r w:rsidRPr="00502787">
              <w:rPr>
                <w:rFonts w:ascii="Times New Roman" w:hAnsi="Times New Roman" w:cs="Times New Roman"/>
                <w:spacing w:val="-1"/>
                <w:sz w:val="20"/>
                <w:szCs w:val="20"/>
                <w:lang w:val="ro-MD"/>
              </w:rPr>
              <w:t xml:space="preserve">The </w:t>
            </w:r>
            <w:r w:rsidRPr="00502787">
              <w:rPr>
                <w:rFonts w:ascii="Times New Roman" w:hAnsi="Times New Roman" w:cs="Times New Roman"/>
                <w:spacing w:val="-2"/>
                <w:sz w:val="20"/>
                <w:szCs w:val="20"/>
                <w:lang w:val="ro-MD"/>
              </w:rPr>
              <w:t>measures—such</w:t>
            </w:r>
            <w:r w:rsidRPr="00502787">
              <w:rPr>
                <w:rFonts w:ascii="Times New Roman" w:hAnsi="Times New Roman" w:cs="Times New Roman"/>
                <w:spacing w:val="-1"/>
                <w:sz w:val="20"/>
                <w:szCs w:val="20"/>
                <w:lang w:val="ro-MD"/>
              </w:rPr>
              <w:t xml:space="preserve"> as</w:t>
            </w:r>
            <w:r w:rsidRPr="00502787">
              <w:rPr>
                <w:rFonts w:ascii="Times New Roman" w:hAnsi="Times New Roman" w:cs="Times New Roman"/>
                <w:spacing w:val="29"/>
                <w:sz w:val="20"/>
                <w:szCs w:val="20"/>
                <w:lang w:val="ro-MD"/>
              </w:rPr>
              <w:t xml:space="preserve"> </w:t>
            </w:r>
            <w:r w:rsidRPr="00502787">
              <w:rPr>
                <w:rFonts w:ascii="Times New Roman" w:hAnsi="Times New Roman" w:cs="Times New Roman"/>
                <w:spacing w:val="-1"/>
                <w:sz w:val="20"/>
                <w:szCs w:val="20"/>
                <w:lang w:val="ro-MD"/>
              </w:rPr>
              <w:t>the VAT</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exemption/deferral for</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photovoltaic panels and</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inverters (along with the</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elimination of</w:t>
            </w:r>
            <w:r w:rsidRPr="00502787">
              <w:rPr>
                <w:rFonts w:ascii="Times New Roman" w:hAnsi="Times New Roman" w:cs="Times New Roman"/>
                <w:sz w:val="20"/>
                <w:szCs w:val="20"/>
                <w:lang w:val="ro-MD"/>
              </w:rPr>
              <w:t xml:space="preserve"> </w:t>
            </w:r>
            <w:r w:rsidRPr="00502787">
              <w:rPr>
                <w:rFonts w:ascii="Times New Roman" w:hAnsi="Times New Roman" w:cs="Times New Roman"/>
                <w:spacing w:val="-1"/>
                <w:sz w:val="20"/>
                <w:szCs w:val="20"/>
                <w:lang w:val="ro-MD"/>
              </w:rPr>
              <w:t>customs</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duty on imported</w:t>
            </w:r>
            <w:r w:rsidRPr="00502787">
              <w:rPr>
                <w:rFonts w:ascii="Times New Roman" w:hAnsi="Times New Roman" w:cs="Times New Roman"/>
                <w:spacing w:val="23"/>
                <w:sz w:val="20"/>
                <w:szCs w:val="20"/>
                <w:lang w:val="ro-MD"/>
              </w:rPr>
              <w:t xml:space="preserve"> </w:t>
            </w:r>
            <w:r w:rsidRPr="00502787">
              <w:rPr>
                <w:rFonts w:ascii="Times New Roman" w:hAnsi="Times New Roman" w:cs="Times New Roman"/>
                <w:spacing w:val="-1"/>
                <w:sz w:val="20"/>
                <w:szCs w:val="20"/>
                <w:lang w:val="ro-MD"/>
              </w:rPr>
              <w:t>inverters), the allowance</w:t>
            </w:r>
            <w:r w:rsidRPr="00502787">
              <w:rPr>
                <w:rFonts w:ascii="Times New Roman" w:hAnsi="Times New Roman" w:cs="Times New Roman"/>
                <w:spacing w:val="23"/>
                <w:sz w:val="20"/>
                <w:szCs w:val="20"/>
                <w:lang w:val="ro-MD"/>
              </w:rPr>
              <w:t xml:space="preserve"> </w:t>
            </w:r>
            <w:r w:rsidRPr="00502787">
              <w:rPr>
                <w:rFonts w:ascii="Times New Roman" w:hAnsi="Times New Roman" w:cs="Times New Roman"/>
                <w:spacing w:val="-1"/>
                <w:sz w:val="20"/>
                <w:szCs w:val="20"/>
                <w:lang w:val="ro-MD"/>
              </w:rPr>
              <w:t>to deduct up to 100%</w:t>
            </w:r>
            <w:r w:rsidRPr="00502787">
              <w:rPr>
                <w:rFonts w:ascii="Times New Roman" w:hAnsi="Times New Roman" w:cs="Times New Roman"/>
                <w:spacing w:val="-2"/>
                <w:sz w:val="20"/>
                <w:szCs w:val="20"/>
                <w:lang w:val="ro-MD"/>
              </w:rPr>
              <w:t xml:space="preserve"> </w:t>
            </w:r>
            <w:r w:rsidRPr="00502787">
              <w:rPr>
                <w:rFonts w:ascii="Times New Roman" w:hAnsi="Times New Roman" w:cs="Times New Roman"/>
                <w:spacing w:val="-1"/>
                <w:sz w:val="20"/>
                <w:szCs w:val="20"/>
                <w:lang w:val="ro-MD"/>
              </w:rPr>
              <w:t>of</w:t>
            </w:r>
            <w:r w:rsidRPr="00502787">
              <w:rPr>
                <w:rFonts w:ascii="Times New Roman" w:hAnsi="Times New Roman" w:cs="Times New Roman"/>
                <w:spacing w:val="27"/>
                <w:sz w:val="20"/>
                <w:szCs w:val="20"/>
                <w:lang w:val="ro-MD"/>
              </w:rPr>
              <w:t xml:space="preserve"> </w:t>
            </w:r>
            <w:r w:rsidRPr="00502787">
              <w:rPr>
                <w:rFonts w:ascii="Times New Roman" w:hAnsi="Times New Roman" w:cs="Times New Roman"/>
                <w:spacing w:val="-1"/>
                <w:sz w:val="20"/>
                <w:szCs w:val="20"/>
                <w:lang w:val="ro-MD"/>
              </w:rPr>
              <w:t>renewable energy</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project investments in</w:t>
            </w:r>
            <w:r w:rsidRPr="00502787">
              <w:rPr>
                <w:rFonts w:ascii="Times New Roman" w:hAnsi="Times New Roman" w:cs="Times New Roman"/>
                <w:spacing w:val="23"/>
                <w:sz w:val="20"/>
                <w:szCs w:val="20"/>
                <w:lang w:val="ro-MD"/>
              </w:rPr>
              <w:t xml:space="preserve"> </w:t>
            </w:r>
            <w:r w:rsidRPr="00502787">
              <w:rPr>
                <w:rFonts w:ascii="Times New Roman" w:hAnsi="Times New Roman" w:cs="Times New Roman"/>
                <w:spacing w:val="-1"/>
                <w:sz w:val="20"/>
                <w:szCs w:val="20"/>
                <w:lang w:val="ro-MD"/>
              </w:rPr>
              <w:t>the first year of</w:t>
            </w:r>
            <w:r w:rsidRPr="00502787">
              <w:rPr>
                <w:rFonts w:ascii="Times New Roman" w:hAnsi="Times New Roman" w:cs="Times New Roman"/>
                <w:spacing w:val="25"/>
                <w:sz w:val="20"/>
                <w:szCs w:val="20"/>
                <w:lang w:val="ro-MD"/>
              </w:rPr>
              <w:t xml:space="preserve"> </w:t>
            </w:r>
            <w:r w:rsidRPr="00502787">
              <w:rPr>
                <w:rFonts w:ascii="Times New Roman" w:hAnsi="Times New Roman" w:cs="Times New Roman"/>
                <w:spacing w:val="-1"/>
                <w:sz w:val="20"/>
                <w:szCs w:val="20"/>
                <w:lang w:val="ro-MD"/>
              </w:rPr>
              <w:t>operation, and the</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exemption or reduction</w:t>
            </w:r>
            <w:r w:rsidRPr="00502787">
              <w:rPr>
                <w:rFonts w:ascii="Times New Roman" w:hAnsi="Times New Roman" w:cs="Times New Roman"/>
                <w:spacing w:val="23"/>
                <w:sz w:val="20"/>
                <w:szCs w:val="20"/>
                <w:lang w:val="ro-MD"/>
              </w:rPr>
              <w:t xml:space="preserve"> </w:t>
            </w:r>
            <w:r w:rsidRPr="00502787">
              <w:rPr>
                <w:rFonts w:ascii="Times New Roman" w:hAnsi="Times New Roman" w:cs="Times New Roman"/>
                <w:spacing w:val="-1"/>
                <w:sz w:val="20"/>
                <w:szCs w:val="20"/>
                <w:lang w:val="ro-MD"/>
              </w:rPr>
              <w:t>of real estate tax for</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buildings with renewable</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energy</w:t>
            </w:r>
            <w:r w:rsidRPr="00502787">
              <w:rPr>
                <w:rFonts w:ascii="Times New Roman" w:hAnsi="Times New Roman" w:cs="Times New Roman"/>
                <w:spacing w:val="-2"/>
                <w:sz w:val="20"/>
                <w:szCs w:val="20"/>
                <w:lang w:val="ro-MD"/>
              </w:rPr>
              <w:t>production—are</w:t>
            </w:r>
            <w:r w:rsidRPr="00502787">
              <w:rPr>
                <w:rFonts w:ascii="Times New Roman" w:hAnsi="Times New Roman" w:cs="Times New Roman"/>
                <w:spacing w:val="29"/>
                <w:sz w:val="20"/>
                <w:szCs w:val="20"/>
                <w:lang w:val="ro-MD"/>
              </w:rPr>
              <w:t xml:space="preserve"> </w:t>
            </w:r>
            <w:r w:rsidRPr="00502787">
              <w:rPr>
                <w:rFonts w:ascii="Times New Roman" w:hAnsi="Times New Roman" w:cs="Times New Roman"/>
                <w:spacing w:val="-1"/>
                <w:sz w:val="20"/>
                <w:szCs w:val="20"/>
                <w:lang w:val="ro-MD"/>
              </w:rPr>
              <w:t>designed to accelerate</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the development of the</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energy sector. They aim</w:t>
            </w:r>
            <w:r w:rsidRPr="00502787">
              <w:rPr>
                <w:rFonts w:ascii="Times New Roman" w:hAnsi="Times New Roman" w:cs="Times New Roman"/>
                <w:spacing w:val="25"/>
                <w:sz w:val="20"/>
                <w:szCs w:val="20"/>
                <w:lang w:val="ro-MD"/>
              </w:rPr>
              <w:t xml:space="preserve"> </w:t>
            </w:r>
            <w:r w:rsidRPr="00502787">
              <w:rPr>
                <w:rFonts w:ascii="Times New Roman" w:hAnsi="Times New Roman" w:cs="Times New Roman"/>
                <w:spacing w:val="-1"/>
                <w:sz w:val="20"/>
                <w:szCs w:val="20"/>
                <w:lang w:val="ro-MD"/>
              </w:rPr>
              <w:t>to boost the renewable</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energy industry</w:t>
            </w:r>
            <w:r w:rsidRPr="00502787">
              <w:rPr>
                <w:rFonts w:ascii="Times New Roman" w:hAnsi="Times New Roman" w:cs="Times New Roman"/>
                <w:sz w:val="20"/>
                <w:szCs w:val="20"/>
                <w:lang w:val="ro-MD"/>
              </w:rPr>
              <w:t xml:space="preserve"> </w:t>
            </w:r>
            <w:r w:rsidRPr="00502787">
              <w:rPr>
                <w:rFonts w:ascii="Times New Roman" w:hAnsi="Times New Roman" w:cs="Times New Roman"/>
                <w:spacing w:val="-1"/>
                <w:sz w:val="20"/>
                <w:szCs w:val="20"/>
                <w:lang w:val="ro-MD"/>
              </w:rPr>
              <w:t>while</w:t>
            </w:r>
            <w:r w:rsidRPr="00502787">
              <w:rPr>
                <w:rFonts w:ascii="Times New Roman" w:hAnsi="Times New Roman" w:cs="Times New Roman"/>
                <w:spacing w:val="23"/>
                <w:sz w:val="20"/>
                <w:szCs w:val="20"/>
                <w:lang w:val="ro-MD"/>
              </w:rPr>
              <w:t xml:space="preserve"> </w:t>
            </w:r>
            <w:r w:rsidRPr="00502787">
              <w:rPr>
                <w:rFonts w:ascii="Times New Roman" w:hAnsi="Times New Roman" w:cs="Times New Roman"/>
                <w:spacing w:val="-1"/>
                <w:sz w:val="20"/>
                <w:szCs w:val="20"/>
                <w:lang w:val="ro-MD"/>
              </w:rPr>
              <w:t>encouraging both</w:t>
            </w:r>
            <w:r w:rsidRPr="00502787">
              <w:rPr>
                <w:rFonts w:ascii="Times New Roman" w:hAnsi="Times New Roman" w:cs="Times New Roman"/>
                <w:spacing w:val="23"/>
                <w:sz w:val="20"/>
                <w:szCs w:val="20"/>
                <w:lang w:val="ro-MD"/>
              </w:rPr>
              <w:t xml:space="preserve"> </w:t>
            </w:r>
            <w:r w:rsidRPr="00502787">
              <w:rPr>
                <w:rFonts w:ascii="Times New Roman" w:hAnsi="Times New Roman" w:cs="Times New Roman"/>
                <w:spacing w:val="-1"/>
                <w:sz w:val="20"/>
                <w:szCs w:val="20"/>
                <w:lang w:val="ro-MD"/>
              </w:rPr>
              <w:t xml:space="preserve">citizens and </w:t>
            </w:r>
            <w:r w:rsidRPr="00502787">
              <w:rPr>
                <w:rFonts w:ascii="Times New Roman" w:hAnsi="Times New Roman" w:cs="Times New Roman"/>
                <w:spacing w:val="-2"/>
                <w:sz w:val="20"/>
                <w:szCs w:val="20"/>
                <w:lang w:val="ro-MD"/>
              </w:rPr>
              <w:t>businesses</w:t>
            </w:r>
            <w:r w:rsidRPr="00502787">
              <w:rPr>
                <w:rFonts w:ascii="Times New Roman" w:hAnsi="Times New Roman" w:cs="Times New Roman"/>
                <w:spacing w:val="22"/>
                <w:sz w:val="20"/>
                <w:szCs w:val="20"/>
                <w:lang w:val="ro-MD"/>
              </w:rPr>
              <w:t xml:space="preserve"> </w:t>
            </w:r>
            <w:r w:rsidRPr="00502787">
              <w:rPr>
                <w:rFonts w:ascii="Times New Roman" w:hAnsi="Times New Roman" w:cs="Times New Roman"/>
                <w:spacing w:val="-1"/>
                <w:sz w:val="20"/>
                <w:szCs w:val="20"/>
                <w:lang w:val="ro-MD"/>
              </w:rPr>
              <w:t>to invest in</w:t>
            </w:r>
            <w:r w:rsidRPr="00502787">
              <w:rPr>
                <w:rFonts w:ascii="Times New Roman" w:hAnsi="Times New Roman" w:cs="Times New Roman"/>
                <w:sz w:val="20"/>
                <w:szCs w:val="20"/>
                <w:lang w:val="ro-MD"/>
              </w:rPr>
              <w:t xml:space="preserve"> </w:t>
            </w:r>
            <w:r w:rsidRPr="00502787">
              <w:rPr>
                <w:rFonts w:ascii="Times New Roman" w:hAnsi="Times New Roman" w:cs="Times New Roman"/>
                <w:spacing w:val="-1"/>
                <w:sz w:val="20"/>
                <w:szCs w:val="20"/>
                <w:lang w:val="ro-MD"/>
              </w:rPr>
              <w:t>renewable</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energy sources.</w:t>
            </w:r>
          </w:p>
          <w:p w14:paraId="0F91023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490E774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Source of verification:</w:t>
            </w:r>
            <w:r w:rsidRPr="00502787">
              <w:rPr>
                <w:rFonts w:ascii="Times New Roman" w:hAnsi="Times New Roman" w:cs="Times New Roman"/>
                <w:spacing w:val="24"/>
                <w:sz w:val="20"/>
                <w:szCs w:val="20"/>
                <w:lang w:val="ro-MD"/>
              </w:rPr>
              <w:t xml:space="preserve"> </w:t>
            </w:r>
            <w:r w:rsidRPr="00502787">
              <w:rPr>
                <w:rFonts w:ascii="Times New Roman" w:hAnsi="Times New Roman" w:cs="Times New Roman"/>
                <w:spacing w:val="-1"/>
                <w:sz w:val="20"/>
                <w:szCs w:val="20"/>
                <w:lang w:val="ro-MD"/>
              </w:rPr>
              <w:t xml:space="preserve">the </w:t>
            </w:r>
            <w:r w:rsidRPr="00502787">
              <w:rPr>
                <w:rFonts w:ascii="Times New Roman" w:hAnsi="Times New Roman" w:cs="Times New Roman"/>
                <w:spacing w:val="-2"/>
                <w:sz w:val="20"/>
                <w:szCs w:val="20"/>
                <w:lang w:val="ro-MD"/>
              </w:rPr>
              <w:t>amendments</w:t>
            </w:r>
            <w:r w:rsidRPr="00502787">
              <w:rPr>
                <w:rFonts w:ascii="Times New Roman" w:hAnsi="Times New Roman" w:cs="Times New Roman"/>
                <w:spacing w:val="-1"/>
                <w:sz w:val="20"/>
                <w:szCs w:val="20"/>
                <w:lang w:val="ro-MD"/>
              </w:rPr>
              <w:t xml:space="preserve"> to the</w:t>
            </w:r>
            <w:r w:rsidRPr="00502787">
              <w:rPr>
                <w:rFonts w:ascii="Times New Roman" w:hAnsi="Times New Roman" w:cs="Times New Roman"/>
                <w:spacing w:val="25"/>
                <w:sz w:val="20"/>
                <w:szCs w:val="20"/>
                <w:lang w:val="ro-MD"/>
              </w:rPr>
              <w:t xml:space="preserve"> </w:t>
            </w:r>
            <w:r w:rsidRPr="00502787">
              <w:rPr>
                <w:rFonts w:ascii="Times New Roman" w:hAnsi="Times New Roman" w:cs="Times New Roman"/>
                <w:spacing w:val="-1"/>
                <w:sz w:val="20"/>
                <w:szCs w:val="20"/>
                <w:lang w:val="ro-MD"/>
              </w:rPr>
              <w:t>law</w:t>
            </w:r>
            <w:r w:rsidRPr="00502787">
              <w:rPr>
                <w:rFonts w:ascii="Times New Roman" w:hAnsi="Times New Roman" w:cs="Times New Roman"/>
                <w:spacing w:val="-2"/>
                <w:sz w:val="20"/>
                <w:szCs w:val="20"/>
                <w:lang w:val="ro-MD"/>
              </w:rPr>
              <w:t xml:space="preserve"> </w:t>
            </w:r>
            <w:r w:rsidRPr="00502787">
              <w:rPr>
                <w:rFonts w:ascii="Times New Roman" w:hAnsi="Times New Roman" w:cs="Times New Roman"/>
                <w:spacing w:val="-1"/>
                <w:sz w:val="20"/>
                <w:szCs w:val="20"/>
                <w:lang w:val="ro-MD"/>
              </w:rPr>
              <w:t>are adopted by the</w:t>
            </w:r>
            <w:r w:rsidRPr="00502787">
              <w:rPr>
                <w:rFonts w:ascii="Times New Roman" w:hAnsi="Times New Roman" w:cs="Times New Roman"/>
                <w:spacing w:val="26"/>
                <w:sz w:val="20"/>
                <w:szCs w:val="20"/>
                <w:lang w:val="ro-MD"/>
              </w:rPr>
              <w:t xml:space="preserve"> </w:t>
            </w:r>
            <w:r w:rsidRPr="00502787">
              <w:rPr>
                <w:rFonts w:ascii="Times New Roman" w:hAnsi="Times New Roman" w:cs="Times New Roman"/>
                <w:spacing w:val="-1"/>
                <w:sz w:val="20"/>
                <w:szCs w:val="20"/>
                <w:lang w:val="ro-MD"/>
              </w:rPr>
              <w:t>Parliament.</w:t>
            </w:r>
          </w:p>
        </w:tc>
        <w:tc>
          <w:tcPr>
            <w:tcW w:w="4819" w:type="dxa"/>
            <w:vMerge w:val="restart"/>
          </w:tcPr>
          <w:p w14:paraId="4B03D33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w:t>
            </w:r>
          </w:p>
          <w:p w14:paraId="6CC9A8D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Se acceptă. </w:t>
            </w:r>
          </w:p>
          <w:p w14:paraId="0F5EEFC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Energiei în procesul de elaborare a propunerilor la politica bugetar fiscală a adresat Ministerului Finanțelor propuneri de aplicare a taxelor reduse la TVA și taxe vamale de import reduse pentru baterii de stocare a energiei electrice, invertoare, stații de încărcare a vehiculelor electrice, turbine eoliene, pompe de căldură, etc. Cu toate acestea, propunerile înaintate nu au fost susținute . </w:t>
            </w:r>
          </w:p>
          <w:p w14:paraId="4820D365" w14:textId="77777777" w:rsidR="00F3660E" w:rsidRPr="00502787" w:rsidRDefault="00F3660E" w:rsidP="00502787">
            <w:pPr>
              <w:jc w:val="both"/>
              <w:rPr>
                <w:rFonts w:ascii="Times New Roman" w:hAnsi="Times New Roman" w:cs="Times New Roman"/>
                <w:sz w:val="20"/>
                <w:szCs w:val="20"/>
                <w:lang w:val="ro-MD"/>
              </w:rPr>
            </w:pPr>
          </w:p>
          <w:p w14:paraId="68EF6B2B" w14:textId="066E6023" w:rsidR="00F3660E" w:rsidRPr="00502787" w:rsidRDefault="00F3660E" w:rsidP="00502787">
            <w:pPr>
              <w:jc w:val="both"/>
              <w:rPr>
                <w:rFonts w:ascii="Times New Roman" w:hAnsi="Times New Roman" w:cs="Times New Roman"/>
                <w:sz w:val="20"/>
                <w:szCs w:val="20"/>
                <w:lang w:val="ro-MD"/>
              </w:rPr>
            </w:pPr>
          </w:p>
          <w:p w14:paraId="43EF3686"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7664B139" w14:textId="77777777">
        <w:trPr>
          <w:trHeight w:val="606"/>
        </w:trPr>
        <w:tc>
          <w:tcPr>
            <w:tcW w:w="556" w:type="dxa"/>
            <w:vMerge w:val="restart"/>
          </w:tcPr>
          <w:p w14:paraId="154899E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D45B08D"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592E572"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Totodată, la reforma Piața de energie electrică deschisă și competitivă (acțiunea nr. 1/2) propunem modificarea termenului de lansare a licitației pentru iulie 2025, iar atribuirea/verificarea pentru octombrie 2025. Subliniem că, având în vedere importanța ca noua capacitate de echilibrare să fie deja operațională pentru perioada de iarnă 2025-2026, este necesară reducerea propusă a termenelor, ceea ce este posibil cu cel puțin două luni prin scurtarea duratei unor sarcini și desfășurarea acestora, atunci când este posibil, în paralel.</w:t>
            </w:r>
          </w:p>
          <w:p w14:paraId="3F79002F" w14:textId="77777777" w:rsidR="00F3660E" w:rsidRPr="00502787" w:rsidRDefault="00F3660E" w:rsidP="00502787">
            <w:pPr>
              <w:jc w:val="both"/>
              <w:rPr>
                <w:rFonts w:ascii="Times New Roman" w:hAnsi="Times New Roman" w:cs="Times New Roman"/>
                <w:spacing w:val="-1"/>
                <w:sz w:val="20"/>
                <w:szCs w:val="20"/>
                <w:lang w:val="ro-MD"/>
              </w:rPr>
            </w:pPr>
          </w:p>
        </w:tc>
        <w:tc>
          <w:tcPr>
            <w:tcW w:w="4819" w:type="dxa"/>
            <w:vMerge w:val="restart"/>
          </w:tcPr>
          <w:p w14:paraId="2008E6A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Energiei</w:t>
            </w:r>
          </w:p>
          <w:p w14:paraId="1084D3B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Nu se acceptă, </w:t>
            </w:r>
          </w:p>
          <w:p w14:paraId="52BA8E1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 comun cu Comisia Europeană, Secretariatul Comunității Energetice, în contextul Scrisorii de intenție, a fost agreat termenul de lansare a licitației, până în septembrie 2025.</w:t>
            </w:r>
          </w:p>
          <w:p w14:paraId="59E9B8D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Având în vedere că pentru lansarea licitației este necesară întreprinderea unui șir de acțiuni, inclusiv modificarea Regulilor pieței energiei electrice, aprobate prin Hotărârea CA ANRE nr. 283/2020, a fost stabilit un Plan de Acțiuni în care sunt stabilite măsuri cu termenul limită septembrie 2025, prin urmare considerăm necesară păstrarea termenului propus în redacția inițială.</w:t>
            </w:r>
          </w:p>
        </w:tc>
      </w:tr>
      <w:tr w:rsidR="0024020C" w:rsidRPr="00502787" w14:paraId="4C9AF972" w14:textId="77777777">
        <w:trPr>
          <w:trHeight w:val="562"/>
        </w:trPr>
        <w:tc>
          <w:tcPr>
            <w:tcW w:w="556" w:type="dxa"/>
            <w:vMerge w:val="restart"/>
          </w:tcPr>
          <w:p w14:paraId="0FEFBC7D"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B1EC6B9"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6BA93B3"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Cu privire la reforma Garantarea securității aprovizionării (acțiunea nr. 3/11), ne exprimăm îngrijorarea privind condiționalitatea: ANRE ia o decizie privind avizul reexaminat al ministerului și ia în considerare redeschiderea certificării Vestmoldtransgaz în ceea ce privește proprietatea asupra sistemului de transport. Este incorect din punct de vedere juridic să se afirme că ANRE poate transfera proprietatea asupra anumitor active de la o entitate la alta. ANRE, prin propria sa competență și în temeiul legii, este o autoritate de reglementare. Aceasta nu poate nici transfera, nici înregistra dreptul de proprietate. Această afirmație este greșită și sugerăm fie reformularea, fie ștergerea ei, din următoarele motive:</w:t>
            </w:r>
          </w:p>
          <w:p w14:paraId="1EC13AD5"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1.Moldovatransgaz, nu Moldovagaz, deține rețelele de transport al gazelor. Moldovagaz este un furnizor și nu exercită nicio proprietate directă asupra rețelelor de transport sau distribuție.</w:t>
            </w:r>
          </w:p>
          <w:p w14:paraId="75FABA11"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Presupunând că sintagma se referă la rețelele de transport:</w:t>
            </w:r>
          </w:p>
          <w:p w14:paraId="2EC12353"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2.În prezent, rețeaua Moldovagransgaz este exploatată doar de Vestmoldtransgaz în baza unui contract de închiriere. Dreptul de proprietate asupra rețelei este exercitat de Moldovatransgaz.</w:t>
            </w:r>
          </w:p>
          <w:p w14:paraId="4274F873"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3.Proprietatea rețelei  poate  fi  transferată  pe  baza  unui  contract  de vânzare- cumpărare (sau a altui model contractual, în funcție de caz) încheiat între Moldovatransgaz și Vestmoldtransgaz, iar autoritatea de reglementare nu poate transfera singură proprietatea.</w:t>
            </w:r>
          </w:p>
        </w:tc>
        <w:tc>
          <w:tcPr>
            <w:tcW w:w="4819" w:type="dxa"/>
            <w:vMerge w:val="restart"/>
          </w:tcPr>
          <w:p w14:paraId="1C6C30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w:t>
            </w:r>
          </w:p>
          <w:p w14:paraId="2F76B40C" w14:textId="77777777" w:rsidR="00463565" w:rsidRPr="00502787" w:rsidRDefault="00463565"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Se acceptă parțial,   </w:t>
            </w:r>
          </w:p>
          <w:p w14:paraId="4A500E47" w14:textId="77E5F06C" w:rsidR="00463565" w:rsidRPr="00502787" w:rsidRDefault="00463565"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Menționăm că, la moment, atât Moldovatransgaz, cât și Moldovagaz dețin în proprietate rețele de transport gaze naturale. Astfel, în conformitate cu prevederile Hotărârii ANRE nr. 513/2024 cu privire la certificarea operatorului sistemului transport al gazelor naturale SRL „Vestmoldtransgaz”, ANRE a stabilit un termen în care proprietarii rețelelor de transport Moldovagaz și Moldovatransgaz se vor conforma cerințelor art. 28 din Legea nr. 108/2016 cu privire la gazele naturale, prin separarea funcţională, decizională şi a formei juridice de organizare față de alte activităţi care nu sunt legate de transportul, distribuţia sau stocarea gazelor naturale. Totodată, s-a propus reformularea acțiunii nr. 3/11 sau excluderea acesteia, în contextul în care această măsură practic a fost realizată de Ministerul Energiei și ANRE.</w:t>
            </w:r>
          </w:p>
          <w:p w14:paraId="7D94B2C4"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11E1D71A" w14:textId="77777777">
        <w:trPr>
          <w:trHeight w:val="574"/>
        </w:trPr>
        <w:tc>
          <w:tcPr>
            <w:tcW w:w="556" w:type="dxa"/>
            <w:vMerge w:val="restart"/>
          </w:tcPr>
          <w:p w14:paraId="70606826"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3D885C90"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3353C360"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Cu privire la reforma Garantarea securității aprovizionării (acțiunea nr. 3/13), ne exprimăm îngrijorarea privind înființarea unei utilități publice de interes național, aprobată de Guvern. Considerăm că această decizie este incoerentă, deoarece, pe de o parte, se urmărește crearea unei piețe energetice competitive, deschise, echitabile și nediscriminatorii, iar pe de altă parte, se permite concurența inegală cu companii de stat care beneficiază de subvenții din partea comunității internaționale. Acest lucru generează distorsiuni pe piață, dezavantajând sectorul privat, care trebuie să-și recupereze investițiile pentru a rămâne operațional, în timp ce concurează cu active subvenționate sau primite prin donație.</w:t>
            </w:r>
          </w:p>
          <w:p w14:paraId="2F7B0328" w14:textId="77777777" w:rsidR="00F3660E" w:rsidRPr="00502787" w:rsidRDefault="00F3660E" w:rsidP="00502787">
            <w:pPr>
              <w:jc w:val="both"/>
              <w:rPr>
                <w:rFonts w:ascii="Times New Roman" w:hAnsi="Times New Roman" w:cs="Times New Roman"/>
                <w:sz w:val="20"/>
                <w:szCs w:val="20"/>
                <w:lang w:val="ro-MD"/>
              </w:rPr>
            </w:pPr>
          </w:p>
        </w:tc>
        <w:tc>
          <w:tcPr>
            <w:tcW w:w="4819" w:type="dxa"/>
            <w:vMerge w:val="restart"/>
          </w:tcPr>
          <w:p w14:paraId="1D34E1B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w:t>
            </w:r>
          </w:p>
          <w:p w14:paraId="10C4B8B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w:t>
            </w:r>
          </w:p>
          <w:p w14:paraId="65EF595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Prevederea respectivă se referă la declararea lucrărilor privind operaționalizarea capacității de producție de 125 MW ca fiind de utilitate publică care să permită derogări de la norme generale și speciale necesare pentru urgentarea proceselor administrative precum eliberarea actelor permisive, specificând clar și responsabilitățile entităților implicate in implementarea proiectului.</w:t>
            </w:r>
          </w:p>
          <w:p w14:paraId="2A441B8E"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3833FCDE" w14:textId="77777777">
        <w:trPr>
          <w:trHeight w:val="562"/>
        </w:trPr>
        <w:tc>
          <w:tcPr>
            <w:tcW w:w="556" w:type="dxa"/>
            <w:vMerge w:val="restart"/>
          </w:tcPr>
          <w:p w14:paraId="2005C2FC"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815FC6A"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E813132"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 xml:space="preserve">Cu privire la reforma Garantarea securității aprovizionării (acțiunea nr. 4/13) în coloana Payment condition and implementation deadline, în scopul declarat al obiectivului de garantare a securității aprovizionării din sintagma: Moldova starts a construction of 400 kV line Balti – Suceava to increase cross-border capacities to Romania de exclus sintagma Moldova starts a asigurând construcția liniei </w:t>
            </w:r>
            <w:r w:rsidRPr="00502787">
              <w:rPr>
                <w:rFonts w:ascii="Times New Roman" w:hAnsi="Times New Roman" w:cs="Times New Roman"/>
                <w:spacing w:val="-1"/>
                <w:sz w:val="20"/>
                <w:szCs w:val="20"/>
                <w:lang w:val="ro-MD"/>
              </w:rPr>
              <w:lastRenderedPageBreak/>
              <w:t>respective eliminînd riscul nerealizării obiectivului propus prin doar inițierea unui proces care poate dura ani de zile.</w:t>
            </w:r>
          </w:p>
          <w:p w14:paraId="5D4917F7" w14:textId="77777777" w:rsidR="00F3660E" w:rsidRPr="00502787" w:rsidRDefault="00F3660E" w:rsidP="00502787">
            <w:pPr>
              <w:jc w:val="both"/>
              <w:rPr>
                <w:rFonts w:ascii="Times New Roman" w:hAnsi="Times New Roman" w:cs="Times New Roman"/>
                <w:spacing w:val="-1"/>
                <w:sz w:val="20"/>
                <w:szCs w:val="20"/>
                <w:lang w:val="ro-MD"/>
              </w:rPr>
            </w:pPr>
          </w:p>
        </w:tc>
        <w:tc>
          <w:tcPr>
            <w:tcW w:w="4819" w:type="dxa"/>
            <w:vMerge w:val="restart"/>
          </w:tcPr>
          <w:p w14:paraId="58293F8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Energiei</w:t>
            </w:r>
          </w:p>
          <w:p w14:paraId="41775EA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w:t>
            </w:r>
          </w:p>
          <w:p w14:paraId="1B78395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Cu referire la termenul pentru începerea lucrărilor pentru Linia electrică aeriană (LEA) 400 kV Bălți-Suceava, menționăm că Ministerul Energiei a depus toate eforturile privind identificarea finanțării proiectului, iar conform </w:t>
            </w:r>
            <w:r w:rsidRPr="00502787">
              <w:rPr>
                <w:rFonts w:ascii="Times New Roman" w:hAnsi="Times New Roman" w:cs="Times New Roman"/>
                <w:sz w:val="20"/>
                <w:szCs w:val="20"/>
                <w:lang w:val="ro-MD"/>
              </w:rPr>
              <w:lastRenderedPageBreak/>
              <w:t>Acordurilor semnate, termenul de implementare a proiectului este Decembrie 2027.</w:t>
            </w:r>
          </w:p>
          <w:p w14:paraId="6E3C894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De asemenea pentru accelerarea tuturor procedurilor necesare pentru inițierea construcției, prin Decizia Protocolară nr. 11.7 a fost aprobată</w:t>
            </w:r>
            <w:r w:rsidRPr="00502787">
              <w:rPr>
                <w:rFonts w:ascii="Times New Roman" w:eastAsia="Calibri" w:hAnsi="Times New Roman" w:cs="Times New Roman"/>
                <w:sz w:val="20"/>
                <w:szCs w:val="20"/>
                <w:lang w:val="ro-MD"/>
              </w:rPr>
              <w:t xml:space="preserve"> </w:t>
            </w:r>
            <w:r w:rsidRPr="00502787">
              <w:rPr>
                <w:rFonts w:ascii="Times New Roman" w:hAnsi="Times New Roman" w:cs="Times New Roman"/>
                <w:sz w:val="20"/>
                <w:szCs w:val="20"/>
                <w:lang w:val="ro-MD"/>
              </w:rPr>
              <w:t>legea privind declararea utilității publice de interes național a lucrărilor de construcție a liniei electrice aeriene (LEA) 400 kV de transport al energiei electrice Bălți-Suceava, modernizarea stației electrice Bălți 330 kV și construcția unei stații electrice noi Bălți 400 kV.</w:t>
            </w:r>
          </w:p>
          <w:p w14:paraId="236C793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Un aspect important de menționat că pe partea română a fost atribuit contractul privind realizarea lucrărilor cu un termen de realizare 52 de luni. </w:t>
            </w:r>
          </w:p>
          <w:p w14:paraId="1372DA7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Prin urmare pentru alinierea termenelor, se propune a fi păstrată formularea inițială.</w:t>
            </w:r>
          </w:p>
        </w:tc>
      </w:tr>
      <w:tr w:rsidR="0024020C" w:rsidRPr="00502787" w14:paraId="7D8779DC" w14:textId="77777777">
        <w:trPr>
          <w:trHeight w:val="562"/>
        </w:trPr>
        <w:tc>
          <w:tcPr>
            <w:tcW w:w="556" w:type="dxa"/>
            <w:vMerge w:val="restart"/>
          </w:tcPr>
          <w:p w14:paraId="3D78B13B"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5A340371"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1874EC2E"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Cu privire la reforma Thriving market for renewable energy (acțiunea nr. 5/20) în ultima coloană cu descrierea etapelor, urmează a aduce anumite clarificări referitor la: launching auctions of new renewable and energy storage in 2025, specifying the allocated capacities for each technology, with a view to fast-track renewables energy deployment, dacă această acțiune presupune două licitatii diferite? În acest caz, dacă ne dorim regenerabile cu stocare atunci trebuie sa fie reformulată: renewables with collocated BESS.</w:t>
            </w:r>
          </w:p>
          <w:p w14:paraId="58956A4A"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În cee ace privește etapele enumerate la această acțiune 5/20, reieșind din abordarea consecutivității propunem de sa inclus prima acțiune: successful termination of the 1st renewable auction with PPA signing, ulterior reflecting on outcomes.., si doar după revising the new auction design.</w:t>
            </w:r>
          </w:p>
        </w:tc>
        <w:tc>
          <w:tcPr>
            <w:tcW w:w="4819" w:type="dxa"/>
            <w:vMerge w:val="restart"/>
          </w:tcPr>
          <w:p w14:paraId="771B80F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w:t>
            </w:r>
          </w:p>
          <w:p w14:paraId="752F1C4E" w14:textId="77777777" w:rsidR="00F3660E" w:rsidRPr="00502787" w:rsidRDefault="00F3660E" w:rsidP="00502787">
            <w:pPr>
              <w:jc w:val="both"/>
              <w:rPr>
                <w:rFonts w:ascii="Times New Roman" w:hAnsi="Times New Roman" w:cs="Times New Roman"/>
                <w:sz w:val="20"/>
                <w:szCs w:val="20"/>
                <w:lang w:val="ro-MD"/>
              </w:rPr>
            </w:pPr>
          </w:p>
          <w:p w14:paraId="2B5DCC5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w:t>
            </w:r>
          </w:p>
          <w:p w14:paraId="487587D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Această acțiune implică organizarea unor licitații, produsul scos la licitație fiind „preț fix” pentru capacități SER  și „preț fix” pentru capacități SER+ baterii de stocare, într-adevăr ar fi corect „renewables with collocated BESS”</w:t>
            </w:r>
          </w:p>
          <w:p w14:paraId="5FE81EB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66EF186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Nu suntem de-acord cu această abordare, având în vedere că, despre rezultatele primei licitații se va putea judeca deja după etapa de deschidere a ofertelor financiare, care implică că și celelalte etape au fost parcurse, cum ar fi examinarea admisibilității investitorilor, calificarea tehnică a acestora. </w:t>
            </w:r>
          </w:p>
        </w:tc>
      </w:tr>
      <w:tr w:rsidR="0024020C" w:rsidRPr="00502787" w14:paraId="1A393F81" w14:textId="77777777">
        <w:trPr>
          <w:trHeight w:val="1357"/>
        </w:trPr>
        <w:tc>
          <w:tcPr>
            <w:tcW w:w="556" w:type="dxa"/>
            <w:vMerge w:val="restart"/>
          </w:tcPr>
          <w:p w14:paraId="515ADC57"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25C3D35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48F935C"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Cu privire la reforma Thriving market for renewable energy (acțiunea nr. 5/21), în ultima coloană cu descrierea etapelor: In order to incentivize the roll out of renewable energy at consumers level necessary is a financial support for purchases of battery storage systems, considerăm necesar reformularea acesteia reieșind din faptul că insistăm de ani de zile pentru o exceptare de TVA sau o reducere măcar la baterii, invertoare, etc., dar pe de alta parte se propune să oferim suport financiar. Schema de prosumatori urmează a fi revizuită în măsura în care să asigure condiții echitabile tuturor. Unii au beneficiat și de schema de sprijin și de ajutor de stat în forma de fondurinerambursabile și scutiri de TVA, alții însă nu beneficiază de nimic.</w:t>
            </w:r>
          </w:p>
        </w:tc>
        <w:tc>
          <w:tcPr>
            <w:tcW w:w="4819" w:type="dxa"/>
            <w:vMerge w:val="restart"/>
          </w:tcPr>
          <w:p w14:paraId="731519B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w:t>
            </w:r>
          </w:p>
          <w:p w14:paraId="0B87A36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w:t>
            </w:r>
          </w:p>
          <w:p w14:paraId="6D9347F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w:t>
            </w:r>
          </w:p>
          <w:p w14:paraId="463C50A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Energiei în procesul de elaborare a propunerilor la politica bugetar fiscală a adresat Ministerului Finanțelor propuneri de aplicare a taxelor reduse la TVA și taxe vamale de import reduse pentru baterii de stocare a energiei electrice, invertoare, stații de încărcare a vehiculelor electrice, turbine eoliene, pompe de căldură, etc. Cu toate acestea, propunerile înaintate nu au fost susținute.</w:t>
            </w:r>
          </w:p>
          <w:p w14:paraId="12EFF29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Această măsură vine să ofere finanțare sub formă de grant tuturor beneficiarilor de mecanismul facturare netă și ulterior contorizare netă.</w:t>
            </w:r>
          </w:p>
        </w:tc>
      </w:tr>
      <w:tr w:rsidR="0024020C" w:rsidRPr="00502787" w14:paraId="0E3335E8" w14:textId="77777777">
        <w:trPr>
          <w:trHeight w:val="1974"/>
        </w:trPr>
        <w:tc>
          <w:tcPr>
            <w:tcW w:w="556" w:type="dxa"/>
            <w:vMerge w:val="restart"/>
          </w:tcPr>
          <w:p w14:paraId="2145EC64"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128A787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53C59A6"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Cu privire la reforma Thriving market for renewable energy (acțiunea nr. 5/24), în ultima coloană cu descrierea etapelor: Moldova's implementation of streamlined permit-granting procedures will fast-track the deployment of renewable energy projects, addressing bureaucratic delays and providing legal clarity for investors, nu se consideră această măsură una necesară, totul fiind deja prea mult simplificat, unele dintre acestea cu impact negativ.</w:t>
            </w:r>
          </w:p>
          <w:p w14:paraId="57482F23" w14:textId="77777777" w:rsidR="00F3660E" w:rsidRPr="00502787" w:rsidRDefault="00F3660E" w:rsidP="00502787">
            <w:pPr>
              <w:jc w:val="both"/>
              <w:rPr>
                <w:rFonts w:ascii="Times New Roman" w:hAnsi="Times New Roman" w:cs="Times New Roman"/>
                <w:sz w:val="20"/>
                <w:szCs w:val="20"/>
                <w:lang w:val="ro-MD"/>
              </w:rPr>
            </w:pPr>
          </w:p>
        </w:tc>
        <w:tc>
          <w:tcPr>
            <w:tcW w:w="4819" w:type="dxa"/>
            <w:vMerge w:val="restart"/>
          </w:tcPr>
          <w:p w14:paraId="074538E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w:t>
            </w:r>
          </w:p>
          <w:p w14:paraId="05A4613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Această acțiune prevede inclusiv și elaborarea unei analize tehnice a tuturor proceselor și după caz doar vor fi efectuate modificări. dar și elaborarea unei platforme online de informare asupra pașilor de realizat de către investitori în procesul de implementare a proiectelor de valorificare a surselor regenerabile de energie</w:t>
            </w:r>
          </w:p>
        </w:tc>
      </w:tr>
      <w:tr w:rsidR="0024020C" w:rsidRPr="00502787" w14:paraId="5BAC03E5" w14:textId="77777777">
        <w:trPr>
          <w:trHeight w:val="6501"/>
        </w:trPr>
        <w:tc>
          <w:tcPr>
            <w:tcW w:w="556" w:type="dxa"/>
            <w:vMerge w:val="restart"/>
          </w:tcPr>
          <w:p w14:paraId="5DA7C977"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8E8BF50"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40014CF"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Pilonul 7: Valori Fundamentale</w:t>
            </w:r>
          </w:p>
          <w:p w14:paraId="722B449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Considerăm că Planul de Creștere trebuie să includă o evaluare și o revizuire a cadrului juridic și activităților unor categorii de liber profesioniști cu impact semnificativ asupra sistemului de justiție: executorii judecătorești, administratorii autorizați și experții judiciari.</w:t>
            </w:r>
          </w:p>
          <w:p w14:paraId="00F3CE5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Aceștia exercită atribuții de interes public, având prerogative care, dacă sunt utilizate abuziv, pot genera consecințe grave:</w:t>
            </w:r>
          </w:p>
          <w:p w14:paraId="2440C0E5"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Experții judiciari - emit expertize cu valoare probatorie în procese civile, contravenționale și penale (în continuare, „procese judiciare”).</w:t>
            </w:r>
          </w:p>
          <w:p w14:paraId="6334D56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Administratorii autorizați – supraveghează actele de administrare ale persoanelor juridice și gestionează mase patrimoniale în cadrul procedurilor de succesiune, insolvabilitate și dizolvare judiciară.</w:t>
            </w:r>
          </w:p>
          <w:p w14:paraId="7CEAB47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Executorii judecătorești – sunt învestiți cu putere de stat de executare silită a documentelor executorii.</w:t>
            </w:r>
          </w:p>
          <w:p w14:paraId="5319AFF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pacing w:val="-1"/>
                <w:sz w:val="20"/>
                <w:szCs w:val="20"/>
                <w:lang w:val="ro-MD"/>
              </w:rPr>
              <w:t>Reforma justiției nu poate fi considerată completă, atunci când se limitează doar la sistemul judecătoresc și al procuraturii. Pentru a fi eficientă, reforma trebuie să cuprindă și acești profesioniști, ale  căror  atribuții  constă  în  realizarea  și  implementarea  deciziilor  luate  de judecători. Or, deseori, activitatea lor nu este suficient sau adecvat reglementată și poate crea posibilități pentru interpretări diferite sau chiar abuzuri.</w:t>
            </w:r>
          </w:p>
          <w:p w14:paraId="1B7F7650"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Măsură propusă: Revision of legal framework and public oversight of supporting judicial professions.</w:t>
            </w:r>
          </w:p>
          <w:p w14:paraId="03EA92AA"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Baseline: The current system for supporting judicial professions suffers from insufficient regulatory frameworks, poor oversight, and, as a result, spreading abuse of power by representatives of judicial professionals.</w:t>
            </w:r>
          </w:p>
          <w:p w14:paraId="59092EB1"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Descriere: 1. Establish clear competency boundaries:</w:t>
            </w:r>
          </w:p>
          <w:p w14:paraId="50511936"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 xml:space="preserve">Introduce legislative measures to define and limit the powers of judicial professionals (bailiffs, authorized administrator s, judicial experts), explicitly </w:t>
            </w:r>
            <w:r w:rsidRPr="00502787">
              <w:rPr>
                <w:rFonts w:ascii="Times New Roman" w:hAnsi="Times New Roman" w:cs="Times New Roman"/>
                <w:spacing w:val="-1"/>
                <w:sz w:val="20"/>
                <w:szCs w:val="20"/>
                <w:lang w:val="ro-MD"/>
              </w:rPr>
              <w:lastRenderedPageBreak/>
              <w:t>prohibiting abuse of authority and ensuring that their actions remain within the scope of their legal mandates.</w:t>
            </w:r>
          </w:p>
          <w:p w14:paraId="52410F72"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Specifically, revise the Enforcement Code to establish clear regulations regarding forced administratio n, including limits on asset management and clear protections against abuse.</w:t>
            </w:r>
          </w:p>
          <w:p w14:paraId="24FA78A9"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2. Strengthen oversight mechanisms:</w:t>
            </w:r>
          </w:p>
          <w:p w14:paraId="37F3A29E"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Reform the oversight function of the Ministry of Justice to ensure more independent and effective monitoring of judicial professionals. Set up bodies for review of complaints and disciplinary action that are not subservient to the judicial professionals subject to review.</w:t>
            </w:r>
          </w:p>
          <w:p w14:paraId="18B25C38"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Introduce transparency and accountability measures, such as regular audits and public reports on the activities of judicial professionals.</w:t>
            </w:r>
          </w:p>
          <w:p w14:paraId="0D889B80"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 xml:space="preserve">3. Establish efficient legal safeguards for affected individuals and businesses: </w:t>
            </w:r>
          </w:p>
          <w:p w14:paraId="4CC23818"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Create a more accessible and effective process for challenging the actions of judicial professionals, particularly regarding bailiffs and administrators. This may include revising the appeals process to ensure that affected parties have a meaningful opportunity to contest enforcement actions in court.</w:t>
            </w:r>
          </w:p>
          <w:p w14:paraId="51EECC35"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Facilitate the suspension of actions during judicial review, allowing individuals or entities under enforcement measures to protect their rights.</w:t>
            </w:r>
          </w:p>
          <w:p w14:paraId="511CDEC6"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4. Reform of expert reports in judicial proceedings:</w:t>
            </w:r>
          </w:p>
          <w:p w14:paraId="5B9B43BF"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Review and amend the use of judicial expertise to ensure experts focus strictly on technical or specialized matters, rather than interpreting legal questions or substituting for judicial authority.</w:t>
            </w:r>
          </w:p>
          <w:p w14:paraId="6E82CCDA" w14:textId="77777777" w:rsidR="00F3660E" w:rsidRPr="00502787" w:rsidRDefault="00480C4A" w:rsidP="00502787">
            <w:pPr>
              <w:jc w:val="both"/>
              <w:rPr>
                <w:rFonts w:ascii="Times New Roman" w:hAnsi="Times New Roman" w:cs="Times New Roman"/>
                <w:spacing w:val="-1"/>
                <w:sz w:val="20"/>
                <w:szCs w:val="20"/>
                <w:lang w:val="ro-MD"/>
              </w:rPr>
            </w:pPr>
            <w:r w:rsidRPr="00502787">
              <w:rPr>
                <w:rFonts w:ascii="Times New Roman" w:hAnsi="Times New Roman" w:cs="Times New Roman"/>
                <w:spacing w:val="-1"/>
                <w:sz w:val="20"/>
                <w:szCs w:val="20"/>
                <w:lang w:val="ro-MD"/>
              </w:rPr>
              <w:t>Introduce guidelines and oversight for judicial expertise, requiring courts to consider alternative evidence and protect the rights of individuals facing such reports.</w:t>
            </w:r>
          </w:p>
        </w:tc>
        <w:tc>
          <w:tcPr>
            <w:tcW w:w="4819" w:type="dxa"/>
            <w:vMerge w:val="restart"/>
          </w:tcPr>
          <w:p w14:paraId="2AF9B89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Justiției</w:t>
            </w:r>
          </w:p>
          <w:p w14:paraId="492A3F68" w14:textId="77777777" w:rsidR="00F3660E" w:rsidRPr="00502787" w:rsidRDefault="00F3660E" w:rsidP="00502787">
            <w:pPr>
              <w:jc w:val="both"/>
              <w:rPr>
                <w:rFonts w:ascii="Times New Roman" w:hAnsi="Times New Roman" w:cs="Times New Roman"/>
                <w:sz w:val="20"/>
                <w:szCs w:val="20"/>
                <w:lang w:val="ro-MD"/>
              </w:rPr>
            </w:pPr>
          </w:p>
          <w:p w14:paraId="74CF637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„Consolidarea capacităților profesiilor din sectorul justiției” constituie un obiectiv al Strategiei pentru asigurarea independenței și integrității sectorului justiției pentru anii 2022-2025. Acest obiectiv cuprinde mai multe măsuri de ordin normativ și instituțional care vizează sectorul, inclusiv modificarea cadrului normativ privind expertiza judiciară, executorii judecătorești etc. De asemenea, acțiuni care țin de de modificarea Codului de executare sunt stabilite și la obiectivul din Strategie privind „Îmbunătățirea accesului la justiție și a sistemului de protecție a drepturilor omului în sectorul justiției”. Strategia cuprinde și un obiectiv distinct care vizează „Fortificarea căilor alternative de soluționare a litigiilor” iar măsurile incluse la acest obiectiv țin de instituția medierii și a arbitrajului.</w:t>
            </w:r>
          </w:p>
          <w:p w14:paraId="53283256" w14:textId="77777777" w:rsidR="00F3660E" w:rsidRPr="00502787" w:rsidRDefault="00F3660E" w:rsidP="00502787">
            <w:pPr>
              <w:jc w:val="both"/>
              <w:rPr>
                <w:rFonts w:ascii="Times New Roman" w:hAnsi="Times New Roman" w:cs="Times New Roman"/>
                <w:sz w:val="20"/>
                <w:szCs w:val="20"/>
                <w:lang w:val="ro-MD"/>
              </w:rPr>
            </w:pPr>
          </w:p>
          <w:p w14:paraId="481FE03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La fel, și în proiectul Foii de parcurs privind „Statul de drept” sunt incluse mai multe măsuri conexe activității profesiilor din sectorul justiției. </w:t>
            </w:r>
          </w:p>
          <w:p w14:paraId="09E86E34" w14:textId="77777777" w:rsidR="00F3660E" w:rsidRPr="00502787" w:rsidRDefault="00F3660E" w:rsidP="00502787">
            <w:pPr>
              <w:jc w:val="both"/>
              <w:rPr>
                <w:rFonts w:ascii="Times New Roman" w:hAnsi="Times New Roman" w:cs="Times New Roman"/>
                <w:sz w:val="20"/>
                <w:szCs w:val="20"/>
                <w:lang w:val="ro-MD"/>
              </w:rPr>
            </w:pPr>
          </w:p>
          <w:p w14:paraId="34D86F6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Prin urmare, documentele de politici menționate cuprin acțiuni comprexensive care impactează cu propunerile prezentate.</w:t>
            </w:r>
          </w:p>
          <w:p w14:paraId="6E37545A"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2D6432FC" w14:textId="77777777">
        <w:trPr>
          <w:trHeight w:val="2633"/>
        </w:trPr>
        <w:tc>
          <w:tcPr>
            <w:tcW w:w="556" w:type="dxa"/>
            <w:vMerge w:val="restart"/>
          </w:tcPr>
          <w:p w14:paraId="711E442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11.</w:t>
            </w:r>
          </w:p>
        </w:tc>
        <w:tc>
          <w:tcPr>
            <w:tcW w:w="2278" w:type="dxa"/>
            <w:vMerge w:val="restart"/>
          </w:tcPr>
          <w:p w14:paraId="31287AF5" w14:textId="56E1BC11"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Asociația Producătorilor și Exportatorilor de Fructe ”Moldova-Fruct”</w:t>
            </w:r>
            <w:r w:rsidR="00335E6F" w:rsidRPr="00502787">
              <w:rPr>
                <w:rFonts w:ascii="Times New Roman" w:hAnsi="Times New Roman" w:cs="Times New Roman"/>
                <w:sz w:val="20"/>
                <w:szCs w:val="20"/>
                <w:lang w:val="ro-MD"/>
              </w:rPr>
              <w:t xml:space="preserve"> </w:t>
            </w:r>
            <w:r w:rsidR="00335E6F" w:rsidRPr="00D51751">
              <w:rPr>
                <w:rFonts w:ascii="Times New Roman" w:hAnsi="Times New Roman" w:cs="Times New Roman"/>
                <w:i/>
                <w:sz w:val="20"/>
                <w:szCs w:val="20"/>
                <w:lang w:val="ro-MD"/>
              </w:rPr>
              <w:t>(</w:t>
            </w:r>
            <w:r w:rsidR="00D51751">
              <w:rPr>
                <w:rFonts w:ascii="Times New Roman" w:hAnsi="Times New Roman" w:cs="Times New Roman"/>
                <w:i/>
                <w:sz w:val="20"/>
                <w:szCs w:val="20"/>
                <w:lang w:val="ro-MD"/>
              </w:rPr>
              <w:t xml:space="preserve">demers </w:t>
            </w:r>
            <w:r w:rsidR="00D51751" w:rsidRPr="00D51751">
              <w:rPr>
                <w:rFonts w:ascii="Times New Roman" w:hAnsi="Times New Roman" w:cs="Times New Roman"/>
                <w:i/>
                <w:sz w:val="20"/>
                <w:szCs w:val="20"/>
                <w:lang w:val="ro-MD"/>
              </w:rPr>
              <w:t xml:space="preserve">nr. </w:t>
            </w:r>
            <w:r w:rsidR="00335E6F" w:rsidRPr="00D51751">
              <w:rPr>
                <w:rFonts w:ascii="Times New Roman" w:hAnsi="Times New Roman" w:cs="Times New Roman"/>
                <w:i/>
                <w:color w:val="000000"/>
                <w:sz w:val="20"/>
                <w:szCs w:val="20"/>
                <w:lang w:val="ro-MD"/>
              </w:rPr>
              <w:t>36 din 31 martie 2025)</w:t>
            </w:r>
          </w:p>
        </w:tc>
        <w:tc>
          <w:tcPr>
            <w:tcW w:w="6661" w:type="dxa"/>
            <w:vMerge w:val="restart"/>
          </w:tcPr>
          <w:p w14:paraId="7901E23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Pilonul 1 </w:t>
            </w:r>
          </w:p>
          <w:p w14:paraId="58514B2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 completat subdomeniul „Mediul de afaceri” la compartimentele:</w:t>
            </w:r>
          </w:p>
          <w:p w14:paraId="41BDD17E"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-„Condiția de plată și termenul de punere în aplicare” cu textul „Cel puțin 15 Autorizații de mediu pentru folosirea specială a apei din surse subterane, în scopuri de irigare sunt eliberate în baza unui cadrul legal (legea apelor 272/2011 și actele de reglementare secundare) îmbunătățit.”</w:t>
            </w:r>
          </w:p>
          <w:p w14:paraId="2A1AA7F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-„Descrierea și definirea clară a ceea ce presupune fiecare etapă” cu sintagma „Legea apelor 272/2011 și actele de reglementare secundare sunt operaționale pentru eliberarea autorizațiilor de mediu pentru utilizarea apelor în scop de irigare sunt îmbunătățite”.</w:t>
            </w:r>
          </w:p>
          <w:p w14:paraId="5BA981D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Comentariu: Investițiile în irigații (652 milioane EUR) se aliniază atât cu Directiva-cadru a UE privind apa (2000/60/CE), cât și cu necesitatea de a asigura securitatea hidrică în contextul schimbărilor climatice.</w:t>
            </w:r>
          </w:p>
        </w:tc>
        <w:tc>
          <w:tcPr>
            <w:tcW w:w="4819" w:type="dxa"/>
            <w:vMerge w:val="restart"/>
          </w:tcPr>
          <w:p w14:paraId="10E8202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Mediului</w:t>
            </w:r>
          </w:p>
          <w:p w14:paraId="18678F8E" w14:textId="2E4692DD"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 propunerea.</w:t>
            </w:r>
          </w:p>
          <w:p w14:paraId="57FB003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Proiectul de modificare a Legii apelor 272/2011, elaborat în cadrul Grupului de lucru creat prin Ordin MAIA, în cadrul căruia a participat inclusiv reprezentantul Moldova-Fruct, </w:t>
            </w:r>
            <w:r w:rsidRPr="00502787">
              <w:rPr>
                <w:rFonts w:ascii="Times New Roman" w:hAnsi="Times New Roman" w:cs="Times New Roman"/>
                <w:sz w:val="20"/>
                <w:szCs w:val="20"/>
                <w:u w:val="single"/>
                <w:lang w:val="ro-MD"/>
              </w:rPr>
              <w:t>este în proces de avizare la moment</w:t>
            </w:r>
            <w:r w:rsidRPr="00502787">
              <w:rPr>
                <w:rFonts w:ascii="Times New Roman" w:hAnsi="Times New Roman" w:cs="Times New Roman"/>
                <w:sz w:val="20"/>
                <w:szCs w:val="20"/>
                <w:lang w:val="ro-MD"/>
              </w:rPr>
              <w:t xml:space="preserve"> (a fost înaintat cu titlul de inițiativă legislativă), care stabilește clar reglementările ce țin de obținerea AMFSA, inclusiv din surse subterane, cu simplificarea unor procese de obținere a acesteia. Ulterior vor fi actualizate/ modificate actele normative subordonate, la necesitate.</w:t>
            </w:r>
          </w:p>
          <w:p w14:paraId="53434E30"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Respectiv nu poate fi condiționalizată eliberarea unui număr de autorizații, ținînd cont că acestea se eliberează </w:t>
            </w:r>
            <w:r w:rsidRPr="00502787">
              <w:rPr>
                <w:rFonts w:ascii="Times New Roman" w:hAnsi="Times New Roman" w:cs="Times New Roman"/>
                <w:sz w:val="20"/>
                <w:szCs w:val="20"/>
                <w:lang w:val="ro-MD"/>
              </w:rPr>
              <w:lastRenderedPageBreak/>
              <w:t>cu respectarea cadrului normativ cu privire la condițiile de eliberare.</w:t>
            </w:r>
          </w:p>
          <w:p w14:paraId="581B60F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Pentru realizarea unor astfel de acțiuni, sunt necesare realizarea Studiilor de fezabilitate și evaluare a impactului asupra mediului (inclusiv în aspect transfrontalier), ar putea fi examinată includerea lor în planurile de gestionare a districtelor hidrografice sau în Planurile de gestionare a inundațiilor (care urmează a fi actualizate în 2025-2026). Avînd în vedere monitorizarea strictă a Agendei de reforme și riscul de a nu fi realizate acțiunile nu se consideră relevantă includerea acestora în documentul menționat. </w:t>
            </w:r>
          </w:p>
        </w:tc>
      </w:tr>
      <w:tr w:rsidR="0024020C" w:rsidRPr="00502787" w14:paraId="1847F829" w14:textId="77777777">
        <w:trPr>
          <w:trHeight w:val="562"/>
        </w:trPr>
        <w:tc>
          <w:tcPr>
            <w:tcW w:w="556" w:type="dxa"/>
            <w:vMerge w:val="restart"/>
          </w:tcPr>
          <w:p w14:paraId="7804B10E"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6709592C"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6CAEED2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 completat subdomeniul „Competitivitatea sectorului de afaceri” cu compartimentul: - După expresia „oferind un sprijin mai specific IMM-urilor agricole” cu sintagma „și Asociațiilor și organizațiilor de producători” iar după „Cel puțin 5 camere agricole înregistrate...” de continuat cu propoziția „Oficiul Horticol este instituționalizat, oferind sprijin direcționat ÎMM-urilor din sectorul horticol. Oficiul Horticol care oferă servicii la cel puțin 200 de membri (ÎMM-uri agroalimentare, inclusiv fermieri) anual. Decembrie 2026”.</w:t>
            </w:r>
          </w:p>
        </w:tc>
        <w:tc>
          <w:tcPr>
            <w:tcW w:w="4819" w:type="dxa"/>
            <w:vMerge w:val="restart"/>
          </w:tcPr>
          <w:p w14:paraId="0DCE1C1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371937B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w:t>
            </w:r>
          </w:p>
          <w:p w14:paraId="5D7B1D4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Sistemul AKIS (Sistemul de Cunoștințe Inovare în Agricultură) este un ecosistem complex format din diverse categorii de actori implicați în generarea, transferul și aplicarea cunoștințelor și inovațiilor în agricultură. Fiecare actor are un rol specific, iar asociațiile profesionale și organizațiile de producători nu implementează sistemul, ci contribuie la funcționarea acestuia.</w:t>
            </w:r>
          </w:p>
          <w:p w14:paraId="571F16AA"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Aceste entități colectează și transmit nevoile fermierilor, facilitează adoptarea inovațiilor, sprijină schimbul de bune practici și diseminează cunoștințe tehnice către membri.</w:t>
            </w:r>
          </w:p>
          <w:p w14:paraId="5EB56AD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Prin urmare, asociațiile profesionale și organizațiile de producători nu sunt implementatori ai AKIS, ci actori esențiali în procesul de diseminare și aplicare a cunoștințelor și inovațiilor în sectorul agricol.</w:t>
            </w:r>
          </w:p>
          <w:p w14:paraId="70D0E0AB" w14:textId="77777777" w:rsidR="00F3660E" w:rsidRPr="00502787" w:rsidRDefault="00F3660E" w:rsidP="00502787">
            <w:pPr>
              <w:jc w:val="both"/>
              <w:rPr>
                <w:rFonts w:ascii="Times New Roman" w:hAnsi="Times New Roman" w:cs="Times New Roman"/>
                <w:sz w:val="20"/>
                <w:szCs w:val="20"/>
                <w:lang w:val="ro-MD"/>
              </w:rPr>
            </w:pPr>
          </w:p>
        </w:tc>
      </w:tr>
      <w:tr w:rsidR="0024020C" w:rsidRPr="00502787" w14:paraId="2977C4CE" w14:textId="77777777">
        <w:trPr>
          <w:trHeight w:val="562"/>
        </w:trPr>
        <w:tc>
          <w:tcPr>
            <w:tcW w:w="556" w:type="dxa"/>
            <w:vMerge w:val="restart"/>
          </w:tcPr>
          <w:p w14:paraId="1C07F013"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7791BEB3"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2D4DC2E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 completat Partea 2. DOMENIUL DE POLITICI 1. SUBDOMENIUL 1.1: Mediul de afaceri. Reforma 1.1.1-4. Alineatul „Provocări”: Cadrul legal care reglementează accesul la resurse de apă din bazine terestre și subterane și autorizarea utilizării speciale a apei în scopuri de irigare este depășit și nu este pe deplin operațional în realitățile actuale. Aceasta constituie o piedică majoră pentru investiții și creșterea economică în agricultura și sectoarele ei de valoare înaltă, cum ar fi cel al fructelor.</w:t>
            </w:r>
          </w:p>
          <w:p w14:paraId="1B3AE4B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Alineatul „Măsuri calitative și cantitative care urmează să fie întreprinse în cadrul acestei reforme”:</w:t>
            </w:r>
          </w:p>
          <w:p w14:paraId="3D6547A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Legea apelor 272/2011 și actele de reglementare secundare sunt operaționale pentru eliberarea autorizațiilor de utilizare a apelor sunt îmbunătățite Cel puțin 15 Autorizații de utilizare specială a apei din surse subterane, în scopuri de irigare </w:t>
            </w:r>
            <w:r w:rsidRPr="00502787">
              <w:rPr>
                <w:rFonts w:ascii="Times New Roman" w:eastAsiaTheme="minorEastAsia" w:hAnsi="Times New Roman" w:cs="Times New Roman"/>
                <w:sz w:val="20"/>
                <w:szCs w:val="20"/>
                <w:lang w:val="ro-MD"/>
              </w:rPr>
              <w:lastRenderedPageBreak/>
              <w:t>sunt eliberate în baza unui cadrul legal (legea apelor 272/2011 și actele de reglementare secundare) îmbunătățit. Decembrie 2025.</w:t>
            </w:r>
          </w:p>
          <w:p w14:paraId="717A9F3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O rețea de cel puțin 3 bazine de captare a apelor din fluviile Nistru și Prut asigură o rezervă strategică de resurse de apă pentru alimentarea corpurilor de apă din interiorul republicii pe parcursul anului. Decembrie 2027.</w:t>
            </w:r>
          </w:p>
          <w:p w14:paraId="083B011D"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Alineatul „Descrierea procesului de implementare”:</w:t>
            </w:r>
          </w:p>
          <w:p w14:paraId="5AA65A0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Ministerul Agriculturii și Industriei Alimentare și Ministerul Mediului vor supraveghea revizuirea Legii nr. 272/2011 și actelor normative secondare, care reglementează procesul de eliberare a autorizațiilor speciale de utilizare a apei în scopuri de irigare din surse terestre și subterane.</w:t>
            </w:r>
          </w:p>
        </w:tc>
        <w:tc>
          <w:tcPr>
            <w:tcW w:w="4819" w:type="dxa"/>
            <w:vMerge w:val="restart"/>
          </w:tcPr>
          <w:p w14:paraId="3AD883A1"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Mediului</w:t>
            </w:r>
          </w:p>
          <w:p w14:paraId="1F3E7D1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Nu se acceptă propunerea.</w:t>
            </w:r>
          </w:p>
          <w:p w14:paraId="3B51F81B"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Proiectul de modificare a Legii apelor 272/2011, elaborat în cadrul Grupului de lucru creat prin Ordin MAIA, în cadrul căruia a participat inclusiv reprezentantul Moldova-Fruct, </w:t>
            </w:r>
            <w:r w:rsidRPr="00502787">
              <w:rPr>
                <w:rFonts w:ascii="Times New Roman" w:hAnsi="Times New Roman" w:cs="Times New Roman"/>
                <w:sz w:val="20"/>
                <w:szCs w:val="20"/>
                <w:u w:val="single"/>
                <w:lang w:val="ro-MD"/>
              </w:rPr>
              <w:t>este în proces de avizare la moment</w:t>
            </w:r>
            <w:r w:rsidRPr="00502787">
              <w:rPr>
                <w:rFonts w:ascii="Times New Roman" w:hAnsi="Times New Roman" w:cs="Times New Roman"/>
                <w:sz w:val="20"/>
                <w:szCs w:val="20"/>
                <w:lang w:val="ro-MD"/>
              </w:rPr>
              <w:t xml:space="preserve"> (a fost înaintat cu titlul de inițiativă legislativă), care stabilește clar reglementările ce țin de obținerea autorizației pentru folosința specială a apei, inclusiv din surse subterane, cu simplificarea unor procese de obținere a acesteia. Ulterior vor fi actualizate/ modificate actele normative subordonate, la necesitate.</w:t>
            </w:r>
          </w:p>
          <w:p w14:paraId="52A7FD5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Respectiv nu poate fi condiționalizată eliberarea unui număr de autorizații, ținînd cont că acestea se eliberează cu respectarea cadrului normativ cu privire la condițiile de eliberare.</w:t>
            </w:r>
          </w:p>
          <w:p w14:paraId="11AF1B7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Pentru realizarea unor astfel de acțiuni, sunt necesare realizarea Studiilor de fezabilitate și evaluare a impactului asupra mediului (inclusiv în aspect transfrontalier), ar putea fi examinată includerea lor în planurile de gestionare a districtelor hidrografice sau în Planurile de gestionare a inundațiilor (care urmează a fi actualizate în 2025-2026). Avînd în vedere monitorizarea strictă a Agendei de reforme și riscul de a nu fi realizate acțiunile nu se consideră relevantă includerea acestora în documentul menționat. </w:t>
            </w:r>
          </w:p>
          <w:p w14:paraId="05BE9AA7" w14:textId="77777777" w:rsidR="00F3660E" w:rsidRPr="00502787" w:rsidRDefault="00F3660E" w:rsidP="00502787">
            <w:pPr>
              <w:jc w:val="both"/>
              <w:rPr>
                <w:rFonts w:ascii="Times New Roman" w:hAnsi="Times New Roman" w:cs="Times New Roman"/>
                <w:sz w:val="20"/>
                <w:szCs w:val="20"/>
                <w:lang w:val="ro-MD"/>
              </w:rPr>
            </w:pPr>
          </w:p>
          <w:p w14:paraId="7C3F9F0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2FC4CFBF"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Suplimentar la cele relatate de Ministerul Mediului relatăm următoarele.</w:t>
            </w:r>
          </w:p>
          <w:p w14:paraId="2C62A423"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 avizat pozitiv proiectul de modificare a Legii apelor, înaintat cu titlul de inițiativă legislativă de președintele comisiei parlamentare  agricultură și industrie alimentară, susținîndul cu unele propuneri de ajustare al acestuia, cum ar fi: la dispoziții finale și tranzitorii, să prevadă reglementări ce ar crea premize de examinare și încadrare, după caz, în cadrul legal și circuitul economic a construcțiilor hidrotehnice (sondele de captare a apelor subterane), ce corespund normativelor în construcție și de mediu pentru exploatare a acestora.</w:t>
            </w:r>
          </w:p>
          <w:p w14:paraId="58936432" w14:textId="2C5D4162"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Aprobarea, proiectului respectiv va elimina și simplifica procedura de obținere autorizației de mediu pentru folosința specială a apei, inclusiv din subterane la irigarea terenurilor agricole ocupate cu plantații horticole.  </w:t>
            </w:r>
          </w:p>
        </w:tc>
      </w:tr>
      <w:tr w:rsidR="0024020C" w:rsidRPr="00502787" w14:paraId="04A27B3D" w14:textId="77777777">
        <w:trPr>
          <w:trHeight w:val="562"/>
        </w:trPr>
        <w:tc>
          <w:tcPr>
            <w:tcW w:w="556" w:type="dxa"/>
            <w:vMerge w:val="restart"/>
          </w:tcPr>
          <w:p w14:paraId="72C5E93A"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2D914078"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386312B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 completat Partea 2. De completat SUBDOMENIUL 1.2: Competitevitatea sectorului de afaceri, Reforma 1.3.9-10. Alineatul „Obiective”: După expresia „consultanță tehnică pentru agricultură (inițierea AKIS)” de completat cu „prin intermediul Asociațiilor profesionale și Organizațiile de producători”.</w:t>
            </w:r>
          </w:p>
          <w:p w14:paraId="4BD299A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Alineatul „Măsuri calitative și cantitative care urmează să fie întreprinse în cadrul acestei reforme”: După sintagma „sprijin direcționat ÎMM-urilor agricole prin inter</w:t>
            </w:r>
          </w:p>
          <w:p w14:paraId="695D6FF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mediul Camerelor Agricole” de completat „și Asociațiilor și organizațiilor de producători” și mai departe cu un alineat nou:</w:t>
            </w:r>
          </w:p>
          <w:p w14:paraId="409D177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 xml:space="preserve">• Oficiul Horticol este instituționalizat, oferind sprijin direcționat ÎMM-urilor din sectorul horticol. Oficiul Horticol care oferă servicii la cel puțin 200 de membri (ÎMM-uri agroalimentare, inclusiv fermieri) anual. Decembrie 2026. </w:t>
            </w:r>
          </w:p>
          <w:p w14:paraId="659A2E0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Comenatriu: Instituționalizarea Oficiului Horticol și implicarea Asociațiilor de producători în procesele decizionale (în spiritul Art. 14 din Legea nr. 57/2016 privind asocierea în turiitură) vor asigura o implementare transparentă și orientată spre rezultate.</w:t>
            </w:r>
          </w:p>
        </w:tc>
        <w:tc>
          <w:tcPr>
            <w:tcW w:w="4819" w:type="dxa"/>
            <w:vMerge w:val="restart"/>
          </w:tcPr>
          <w:p w14:paraId="66E4E82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Agriculturii și Industriei Alimentare</w:t>
            </w:r>
          </w:p>
          <w:p w14:paraId="76AA4A86" w14:textId="77777777" w:rsidR="00F3660E" w:rsidRPr="00502787" w:rsidRDefault="00F3660E" w:rsidP="00502787">
            <w:pPr>
              <w:jc w:val="both"/>
              <w:rPr>
                <w:rFonts w:ascii="Times New Roman" w:hAnsi="Times New Roman" w:cs="Times New Roman"/>
                <w:sz w:val="20"/>
                <w:szCs w:val="20"/>
                <w:lang w:val="ro-MD"/>
              </w:rPr>
            </w:pPr>
          </w:p>
          <w:p w14:paraId="7DF9DF4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AKIS - nu se acceptă</w:t>
            </w:r>
          </w:p>
          <w:p w14:paraId="75F7968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Sistemul AKIS (Sistemul de Cunoștințe Inovare în Agricultură) este un ecosistem complex format din diverse categorii de actori implicați în generarea, transferul și aplicarea cunoștințelor și inovațiilor în agricultură. Fiecare actor are un rol specific, iar asociațiile profesionale și organizațiile de producători nu implementează sistemul, ci contribuie la funcționarea acestuia.</w:t>
            </w:r>
          </w:p>
          <w:p w14:paraId="3655F2D6"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Aceste entități colectează și transmit nevoile fermierilor, facilitează adoptarea inovațiilor, sprijină schimbul de bune practici și diseminează cunoștințe tehnice către membri.</w:t>
            </w:r>
          </w:p>
          <w:p w14:paraId="1A51CE1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Prin urmare, asociațiile profesionale și organizațiile de producători nu sunt implementatori ai AKIS, ci actori esențiali în procesul de diseminare și aplicare a cunoștințelor și inovațiilor în sectorul agricol.</w:t>
            </w:r>
          </w:p>
          <w:p w14:paraId="4F5C13B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Oficiul horticol - se acceptă. </w:t>
            </w:r>
          </w:p>
          <w:p w14:paraId="1A6DE2CC"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Recent a fost votată definitiv Legea horticulturii, art. 8 stabilește funcționarea Oficiului horticol. Conform cheltuielilor estimative se planifică un buget de circa 80 mil lei, din care 47% din sursele bugetului național. Printre domeniile de competențe ale Oficiului sunt și acordarea de suport și consultanță privind tendințele de dezvoltare a sectorului horticol.</w:t>
            </w:r>
          </w:p>
        </w:tc>
      </w:tr>
      <w:tr w:rsidR="0024020C" w:rsidRPr="00502787" w14:paraId="5A2A5AA1" w14:textId="77777777">
        <w:trPr>
          <w:trHeight w:val="562"/>
        </w:trPr>
        <w:tc>
          <w:tcPr>
            <w:tcW w:w="556" w:type="dxa"/>
            <w:vMerge w:val="restart"/>
          </w:tcPr>
          <w:p w14:paraId="685E7F71" w14:textId="77777777" w:rsidR="00F3660E" w:rsidRPr="00502787" w:rsidRDefault="00F3660E" w:rsidP="00502787">
            <w:pPr>
              <w:jc w:val="both"/>
              <w:rPr>
                <w:rFonts w:ascii="Times New Roman" w:hAnsi="Times New Roman" w:cs="Times New Roman"/>
                <w:sz w:val="20"/>
                <w:szCs w:val="20"/>
                <w:lang w:val="ro-MD"/>
              </w:rPr>
            </w:pPr>
          </w:p>
        </w:tc>
        <w:tc>
          <w:tcPr>
            <w:tcW w:w="2278" w:type="dxa"/>
            <w:vMerge w:val="restart"/>
          </w:tcPr>
          <w:p w14:paraId="0C4BF94E" w14:textId="77777777" w:rsidR="00F3660E" w:rsidRPr="00502787" w:rsidRDefault="00F3660E" w:rsidP="00502787">
            <w:pPr>
              <w:jc w:val="both"/>
              <w:rPr>
                <w:rFonts w:ascii="Times New Roman" w:hAnsi="Times New Roman" w:cs="Times New Roman"/>
                <w:sz w:val="20"/>
                <w:szCs w:val="20"/>
                <w:lang w:val="ro-MD"/>
              </w:rPr>
            </w:pPr>
          </w:p>
        </w:tc>
        <w:tc>
          <w:tcPr>
            <w:tcW w:w="6661" w:type="dxa"/>
            <w:vMerge w:val="restart"/>
          </w:tcPr>
          <w:p w14:paraId="59A7E45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 completat Partea 2. SUBDOMENIUL 1.6: SPS, Reforma 1.8.23-24: SPS. Măsuri calitative și cantitative care urmează să fie întreprinse în cadrul acestei reforme.</w:t>
            </w:r>
          </w:p>
          <w:p w14:paraId="18F02152"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După expresia „Domeniul de aplicare al Programului național de monitorizare și supraveghere a SPS...” de continuat alineatul cu „Laboratorul de testare a reziduurilor de pesticide din cadrul CNFAPSA (IP Centrul Național Sănătatea Animalelor, Plantelor și Siguranța Alimentelor) crește numărul de substanțe active testate de la 225 în prezent la cel puțin 550 substanțe active. Iunie 2027”.</w:t>
            </w:r>
          </w:p>
          <w:p w14:paraId="4F3B0B59"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Comentariu: Modernizarea laboratorului SPS (2 milioane EUR) vor stimula creșterea PIB-ului agricol cu minimum 15% până în 2030, conform estimărilor. Acestea sunt esențiale pentru creșterea exporturilor și competitivității.</w:t>
            </w:r>
          </w:p>
        </w:tc>
        <w:tc>
          <w:tcPr>
            <w:tcW w:w="4819" w:type="dxa"/>
            <w:vMerge w:val="restart"/>
          </w:tcPr>
          <w:p w14:paraId="272F36E4"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Agenția Națională pentru Siguranța Alimentelor</w:t>
            </w:r>
          </w:p>
          <w:p w14:paraId="59598F56" w14:textId="77777777" w:rsidR="00F3660E" w:rsidRPr="00502787" w:rsidRDefault="00F3660E" w:rsidP="00502787">
            <w:pPr>
              <w:jc w:val="both"/>
              <w:rPr>
                <w:rFonts w:ascii="Times New Roman" w:hAnsi="Times New Roman" w:cs="Times New Roman"/>
                <w:sz w:val="20"/>
                <w:szCs w:val="20"/>
                <w:lang w:val="ro-MD"/>
              </w:rPr>
            </w:pPr>
          </w:p>
          <w:p w14:paraId="5BDCAD2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accepta parțial:</w:t>
            </w:r>
          </w:p>
          <w:p w14:paraId="3BEBCC5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După expresia „Domeniul de aplicare al Programului național de monitorizare și supraveghere a SPS...” de continuat alineatul cu „Laboratorul de testare a reziduurilor de pesticide din cadrul CNFAPSA (IP Centrul Național Sănătatea Animalelor, Plantelor și Siguranța Alimentelor) crește numărul de substanțe active testate de la 225 în prezent la 413 substanțe active. Iunie 2027”.</w:t>
            </w:r>
          </w:p>
          <w:p w14:paraId="75AC3318" w14:textId="77777777" w:rsidR="00F3660E" w:rsidRPr="00502787" w:rsidRDefault="00F3660E" w:rsidP="00502787">
            <w:pPr>
              <w:jc w:val="both"/>
              <w:rPr>
                <w:rFonts w:ascii="Times New Roman" w:hAnsi="Times New Roman" w:cs="Times New Roman"/>
                <w:sz w:val="20"/>
                <w:szCs w:val="20"/>
                <w:lang w:val="ro-MD"/>
              </w:rPr>
            </w:pPr>
          </w:p>
          <w:p w14:paraId="6A310458"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Acesta e numărul maxim de metode care pot fi acreditate, realmente.</w:t>
            </w:r>
          </w:p>
          <w:p w14:paraId="7580A212" w14:textId="77777777" w:rsidR="00F3660E" w:rsidRPr="00502787" w:rsidRDefault="00F3660E" w:rsidP="00502787">
            <w:pPr>
              <w:jc w:val="both"/>
              <w:rPr>
                <w:rFonts w:ascii="Times New Roman" w:hAnsi="Times New Roman" w:cs="Times New Roman"/>
                <w:sz w:val="20"/>
                <w:szCs w:val="20"/>
                <w:lang w:val="ro-MD"/>
              </w:rPr>
            </w:pPr>
          </w:p>
          <w:p w14:paraId="62D68147" w14:textId="77777777" w:rsidR="00F3660E" w:rsidRPr="00502787" w:rsidRDefault="00480C4A"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Referitor la comentariu, afirmația „vor stimula creșterea PIB-ului agricol cu minimum 15%” nu este argumentată cantitativ și, respectiv, nu poate fi asumată.</w:t>
            </w:r>
          </w:p>
        </w:tc>
      </w:tr>
      <w:tr w:rsidR="00D51751" w:rsidRPr="00502787" w14:paraId="02C4C484" w14:textId="77777777">
        <w:trPr>
          <w:trHeight w:val="562"/>
        </w:trPr>
        <w:tc>
          <w:tcPr>
            <w:tcW w:w="556" w:type="dxa"/>
            <w:vMerge w:val="restart"/>
          </w:tcPr>
          <w:p w14:paraId="25E3CA86"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12.</w:t>
            </w:r>
          </w:p>
        </w:tc>
        <w:tc>
          <w:tcPr>
            <w:tcW w:w="2278" w:type="dxa"/>
            <w:vMerge w:val="restart"/>
          </w:tcPr>
          <w:p w14:paraId="3CFCB332"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Asociația Forța Fermierilor (Nr. 29/2025</w:t>
            </w:r>
          </w:p>
          <w:p w14:paraId="2EDD5012" w14:textId="45736BF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din 31.03.2025)</w:t>
            </w:r>
          </w:p>
        </w:tc>
        <w:tc>
          <w:tcPr>
            <w:tcW w:w="6661" w:type="dxa"/>
            <w:vMerge w:val="restart"/>
          </w:tcPr>
          <w:p w14:paraId="7B5590C3"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 Necesitatea adoptării măsurilor de dereglementare, transparentizare și eficientizare în domeniul de construcții civile fabrici, ferme, irigații, etc., cu sopul sporirii și simplificării procedurilor de elaborare a documentațiilor tehnice de proiect neceasre pentru sectorul agro-industrial. Această măsura va spori eficiența atragerii de fonduri europene pe viitor, reduce birocrația, corupția, va spori investițiile în sector și gradul de conformare la noile reglementări europene.</w:t>
            </w:r>
          </w:p>
        </w:tc>
        <w:tc>
          <w:tcPr>
            <w:tcW w:w="4819" w:type="dxa"/>
            <w:vMerge w:val="restart"/>
          </w:tcPr>
          <w:p w14:paraId="02A80497" w14:textId="44018F7F" w:rsidR="00D51751" w:rsidRPr="00502787" w:rsidRDefault="00D51751" w:rsidP="00502787">
            <w:pPr>
              <w:jc w:val="both"/>
              <w:rPr>
                <w:rFonts w:ascii="Times New Roman" w:hAnsi="Times New Roman" w:cs="Times New Roman"/>
                <w:sz w:val="20"/>
                <w:szCs w:val="20"/>
                <w:lang w:val="ro-MD"/>
              </w:rPr>
            </w:pPr>
          </w:p>
        </w:tc>
      </w:tr>
      <w:tr w:rsidR="00D51751" w:rsidRPr="00502787" w14:paraId="14BDB46C" w14:textId="77777777">
        <w:trPr>
          <w:trHeight w:val="562"/>
        </w:trPr>
        <w:tc>
          <w:tcPr>
            <w:tcW w:w="556" w:type="dxa"/>
            <w:vMerge/>
          </w:tcPr>
          <w:p w14:paraId="51B39D26" w14:textId="77777777" w:rsidR="00D51751" w:rsidRPr="00502787" w:rsidRDefault="00D51751" w:rsidP="00502787">
            <w:pPr>
              <w:jc w:val="both"/>
              <w:rPr>
                <w:rFonts w:ascii="Times New Roman" w:hAnsi="Times New Roman" w:cs="Times New Roman"/>
                <w:sz w:val="20"/>
                <w:szCs w:val="20"/>
                <w:lang w:val="ro-MD"/>
              </w:rPr>
            </w:pPr>
          </w:p>
        </w:tc>
        <w:tc>
          <w:tcPr>
            <w:tcW w:w="2278" w:type="dxa"/>
            <w:vMerge/>
          </w:tcPr>
          <w:p w14:paraId="72A0972F" w14:textId="77777777" w:rsidR="00D51751" w:rsidRPr="00502787" w:rsidRDefault="00D51751" w:rsidP="00502787">
            <w:pPr>
              <w:jc w:val="both"/>
              <w:rPr>
                <w:rFonts w:ascii="Times New Roman" w:hAnsi="Times New Roman" w:cs="Times New Roman"/>
                <w:sz w:val="20"/>
                <w:szCs w:val="20"/>
                <w:lang w:val="ro-MD"/>
              </w:rPr>
            </w:pPr>
          </w:p>
        </w:tc>
        <w:tc>
          <w:tcPr>
            <w:tcW w:w="6661" w:type="dxa"/>
            <w:vMerge w:val="restart"/>
          </w:tcPr>
          <w:p w14:paraId="15D4DD37"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 Alocarea de resurse financiare din Planul de Creștere pentru capitalizarea fondului de Garantare a Creditelor sau instrumentul FACEM pentru a facilita accesul la finanțări.</w:t>
            </w:r>
          </w:p>
        </w:tc>
        <w:tc>
          <w:tcPr>
            <w:tcW w:w="4819" w:type="dxa"/>
            <w:vMerge w:val="restart"/>
          </w:tcPr>
          <w:p w14:paraId="053D1E3D" w14:textId="51860C15"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Susținem.</w:t>
            </w:r>
          </w:p>
        </w:tc>
      </w:tr>
      <w:tr w:rsidR="00D51751" w:rsidRPr="00502787" w14:paraId="076926CF" w14:textId="77777777">
        <w:trPr>
          <w:trHeight w:val="562"/>
        </w:trPr>
        <w:tc>
          <w:tcPr>
            <w:tcW w:w="556" w:type="dxa"/>
            <w:vMerge/>
          </w:tcPr>
          <w:p w14:paraId="4CBF57CB" w14:textId="77777777" w:rsidR="00D51751" w:rsidRPr="00502787" w:rsidRDefault="00D51751" w:rsidP="00502787">
            <w:pPr>
              <w:jc w:val="both"/>
              <w:rPr>
                <w:rFonts w:ascii="Times New Roman" w:hAnsi="Times New Roman" w:cs="Times New Roman"/>
                <w:sz w:val="20"/>
                <w:szCs w:val="20"/>
                <w:lang w:val="ro-MD"/>
              </w:rPr>
            </w:pPr>
          </w:p>
        </w:tc>
        <w:tc>
          <w:tcPr>
            <w:tcW w:w="2278" w:type="dxa"/>
            <w:vMerge/>
          </w:tcPr>
          <w:p w14:paraId="6397E84D" w14:textId="77777777" w:rsidR="00D51751" w:rsidRPr="00502787" w:rsidRDefault="00D51751" w:rsidP="00502787">
            <w:pPr>
              <w:jc w:val="both"/>
              <w:rPr>
                <w:rFonts w:ascii="Times New Roman" w:hAnsi="Times New Roman" w:cs="Times New Roman"/>
                <w:sz w:val="20"/>
                <w:szCs w:val="20"/>
                <w:lang w:val="ro-MD"/>
              </w:rPr>
            </w:pPr>
          </w:p>
        </w:tc>
        <w:tc>
          <w:tcPr>
            <w:tcW w:w="6661" w:type="dxa"/>
            <w:vMerge w:val="restart"/>
          </w:tcPr>
          <w:p w14:paraId="55B7BED8"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 Elaborare program de finanțare pentru investiții și mijloace circulante pentru sectorul de Cereale și Oleaginoase cu perioade mai lungi – 7-10 ani pentru investiții și 4-5 ani pentru mijloace circualante. Aceasta se argumentează prin faptul că cultivarea cerealelor și oleaginoaselor la moment trebuie adaptate la noile condiții de climă secetoasă, iar cea mai eficientă soluție este investițiile în tehnologiile de conservare a solului cum este cea no-till, iar datorită faptului că creșterea cerealelor reprezintă doar un ciclu anual economic, este nevoie de credite pentru mijloace circulante pe perioadă de până la 5 ani.</w:t>
            </w:r>
          </w:p>
        </w:tc>
        <w:tc>
          <w:tcPr>
            <w:tcW w:w="4819" w:type="dxa"/>
            <w:vMerge w:val="restart"/>
          </w:tcPr>
          <w:p w14:paraId="05213B64"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66F0136A"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susține de principiu</w:t>
            </w:r>
          </w:p>
          <w:p w14:paraId="2325AA2B"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Cu toate că nu face obiectul Agendei de Reformă, dezvoltarea instrumentelor de finanțare (creditare) cu condiții preferențiale pentru sectorul agroalimentar este in vizorul MAIA. Astfel, prin mobilizarea resurselor din programe de asistență externă se dezvoltă instrumente țintite creșterii competitivității sectorului. </w:t>
            </w:r>
          </w:p>
          <w:p w14:paraId="76FDF33B" w14:textId="77777777" w:rsidR="00D51751" w:rsidRPr="00502787" w:rsidRDefault="00D51751" w:rsidP="00502787">
            <w:pPr>
              <w:jc w:val="both"/>
              <w:rPr>
                <w:rFonts w:ascii="Times New Roman" w:hAnsi="Times New Roman" w:cs="Times New Roman"/>
                <w:sz w:val="20"/>
                <w:szCs w:val="20"/>
                <w:lang w:val="ro-MD"/>
              </w:rPr>
            </w:pPr>
          </w:p>
        </w:tc>
      </w:tr>
      <w:tr w:rsidR="00D51751" w:rsidRPr="00502787" w14:paraId="0C3F28A5" w14:textId="77777777">
        <w:trPr>
          <w:trHeight w:val="562"/>
        </w:trPr>
        <w:tc>
          <w:tcPr>
            <w:tcW w:w="556" w:type="dxa"/>
            <w:vMerge/>
          </w:tcPr>
          <w:p w14:paraId="680276CA" w14:textId="77777777" w:rsidR="00D51751" w:rsidRPr="00502787" w:rsidRDefault="00D51751" w:rsidP="00502787">
            <w:pPr>
              <w:jc w:val="both"/>
              <w:rPr>
                <w:rFonts w:ascii="Times New Roman" w:hAnsi="Times New Roman" w:cs="Times New Roman"/>
                <w:sz w:val="20"/>
                <w:szCs w:val="20"/>
                <w:lang w:val="ro-MD"/>
              </w:rPr>
            </w:pPr>
          </w:p>
        </w:tc>
        <w:tc>
          <w:tcPr>
            <w:tcW w:w="2278" w:type="dxa"/>
            <w:vMerge/>
          </w:tcPr>
          <w:p w14:paraId="419407F0" w14:textId="77777777" w:rsidR="00D51751" w:rsidRPr="00502787" w:rsidRDefault="00D51751" w:rsidP="00502787">
            <w:pPr>
              <w:jc w:val="both"/>
              <w:rPr>
                <w:rFonts w:ascii="Times New Roman" w:hAnsi="Times New Roman" w:cs="Times New Roman"/>
                <w:sz w:val="20"/>
                <w:szCs w:val="20"/>
                <w:lang w:val="ro-MD"/>
              </w:rPr>
            </w:pPr>
          </w:p>
        </w:tc>
        <w:tc>
          <w:tcPr>
            <w:tcW w:w="6661" w:type="dxa"/>
            <w:vMerge w:val="restart"/>
          </w:tcPr>
          <w:p w14:paraId="670152E2"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4. Finanțarea măsurilor de sporire a biosecurității pentru zootehnie. În condițiile în care în țară există de mai mulți ani, pesta porcină și persistă pericolul infectării și cu febră aftoasă care afectează toate animalele cu copită despicată, este de urgență necesar de a consolida capaticitățile de asigurarea a biosecurității atât prin prisma instituțiilor statului și a agenților economici.</w:t>
            </w:r>
          </w:p>
        </w:tc>
        <w:tc>
          <w:tcPr>
            <w:tcW w:w="4819" w:type="dxa"/>
            <w:vMerge w:val="restart"/>
          </w:tcPr>
          <w:p w14:paraId="38D599FE"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Agriculturii și Industriei Alimentare</w:t>
            </w:r>
          </w:p>
          <w:p w14:paraId="758182B5"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Se acceptă</w:t>
            </w:r>
          </w:p>
          <w:p w14:paraId="04804701"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măsurile de finanțare pentru dezvoltarea și creșterea competitivității sectorului (inclusiv aplicarea măsurilor de biosecuritate) fac obiectul schimbărilor prevăzute de proiectului de lege privind finanțarea, gestionarea și monitorizarea politicii agricole, înregistrat în Parlament cu nr. 382 din 18 decembrie 2024 precum și a fișelor Programului Strategic al Politicii Agricole 2025-2030 (PSPA) a fost elaborat în vederea punerii în aplicare a Strategiei Naționale de dezvoltare Agricolă și Rurală pentru anii 2023-2030, aprobată prin Hotărârea Guvernului nr.56/2023 și a Strategiei Securității Alimentare aprobată prin HG 775/2022.</w:t>
            </w:r>
          </w:p>
          <w:p w14:paraId="48309E8B"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Mai mult ca atât, Secțiunea a 7-a Investiții în exploatații zootehnice, din Regulamentul privind măsurile și condițiile specifice de eligibilitate pentru subvenționarea investițiilor din Fondul national de dezvoltare a agriculturii și mediului rural, aprobat prin HG 491/2023, la pct.56 se prevede că,</w:t>
            </w:r>
            <w:r w:rsidRPr="00502787">
              <w:rPr>
                <w:rFonts w:ascii="Times New Roman" w:eastAsia="Calibri" w:hAnsi="Times New Roman" w:cs="Times New Roman"/>
                <w:sz w:val="20"/>
                <w:szCs w:val="20"/>
                <w:lang w:val="ro-MD"/>
              </w:rPr>
              <w:t xml:space="preserve"> </w:t>
            </w:r>
            <w:r w:rsidRPr="00502787">
              <w:rPr>
                <w:rFonts w:ascii="Times New Roman" w:hAnsi="Times New Roman" w:cs="Times New Roman"/>
                <w:sz w:val="20"/>
                <w:szCs w:val="20"/>
                <w:lang w:val="ro-MD"/>
              </w:rPr>
              <w:t xml:space="preserve">Subvențiile calculate pentru utilajele, echipamentele sau materialele de construcție folosite pentru construcția obiectelor de infrastructură destinate biosecurității în exploatație se majorează cu 25% din valoarea subvenției autorizate. </w:t>
            </w:r>
          </w:p>
        </w:tc>
      </w:tr>
      <w:tr w:rsidR="00D51751" w:rsidRPr="00502787" w14:paraId="02274E82" w14:textId="77777777">
        <w:trPr>
          <w:trHeight w:val="562"/>
        </w:trPr>
        <w:tc>
          <w:tcPr>
            <w:tcW w:w="556" w:type="dxa"/>
            <w:vMerge/>
          </w:tcPr>
          <w:p w14:paraId="6E06F5DD" w14:textId="77777777" w:rsidR="00D51751" w:rsidRPr="00502787" w:rsidRDefault="00D51751" w:rsidP="00502787">
            <w:pPr>
              <w:jc w:val="both"/>
              <w:rPr>
                <w:rFonts w:ascii="Times New Roman" w:hAnsi="Times New Roman" w:cs="Times New Roman"/>
                <w:sz w:val="20"/>
                <w:szCs w:val="20"/>
                <w:lang w:val="ro-MD"/>
              </w:rPr>
            </w:pPr>
          </w:p>
        </w:tc>
        <w:tc>
          <w:tcPr>
            <w:tcW w:w="2278" w:type="dxa"/>
            <w:vMerge w:val="restart"/>
          </w:tcPr>
          <w:p w14:paraId="1C131AC5" w14:textId="6C132201" w:rsidR="00D51751" w:rsidRPr="00502787" w:rsidRDefault="00D51751" w:rsidP="00502787">
            <w:pPr>
              <w:jc w:val="both"/>
              <w:rPr>
                <w:rFonts w:ascii="Times New Roman" w:hAnsi="Times New Roman" w:cs="Times New Roman"/>
                <w:sz w:val="20"/>
                <w:szCs w:val="20"/>
                <w:lang w:val="ro-MD"/>
              </w:rPr>
            </w:pPr>
          </w:p>
        </w:tc>
        <w:tc>
          <w:tcPr>
            <w:tcW w:w="6661" w:type="dxa"/>
            <w:vMerge w:val="restart"/>
          </w:tcPr>
          <w:p w14:paraId="23F6B83B"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5. Adoptarea măsuri de stimulare sau programe de reținere și atragere a specialiștilor tineri în mediul rural în sectorul agroindustrial. Lipsa forței de muncă este o provocare la fel de mare la moment.</w:t>
            </w:r>
          </w:p>
        </w:tc>
        <w:tc>
          <w:tcPr>
            <w:tcW w:w="4819" w:type="dxa"/>
            <w:vMerge w:val="restart"/>
          </w:tcPr>
          <w:p w14:paraId="4B067FE8" w14:textId="77777777" w:rsidR="00D51751" w:rsidRPr="00502787" w:rsidRDefault="00D51751"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Muncii și Protecției Sociale</w:t>
            </w:r>
          </w:p>
          <w:p w14:paraId="5365C444" w14:textId="77777777" w:rsidR="00D51751" w:rsidRPr="00502787" w:rsidRDefault="00D51751" w:rsidP="00502787">
            <w:pPr>
              <w:jc w:val="both"/>
              <w:rPr>
                <w:rFonts w:ascii="Times New Roman" w:hAnsi="Times New Roman" w:cs="Times New Roman"/>
                <w:sz w:val="20"/>
                <w:szCs w:val="20"/>
                <w:lang w:val="ro-MD"/>
              </w:rPr>
            </w:pPr>
          </w:p>
        </w:tc>
      </w:tr>
      <w:tr w:rsidR="00335E6F" w:rsidRPr="00502787" w14:paraId="637822F7" w14:textId="77777777">
        <w:trPr>
          <w:trHeight w:val="562"/>
        </w:trPr>
        <w:tc>
          <w:tcPr>
            <w:tcW w:w="556" w:type="dxa"/>
            <w:vMerge w:val="restart"/>
          </w:tcPr>
          <w:p w14:paraId="38FB709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13.</w:t>
            </w:r>
          </w:p>
        </w:tc>
        <w:tc>
          <w:tcPr>
            <w:tcW w:w="2278" w:type="dxa"/>
            <w:vMerge w:val="restart"/>
          </w:tcPr>
          <w:p w14:paraId="211C61BA" w14:textId="49957664"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UNIUNEA TRANSPORTATORILOR ŞI DRUMARILOR DIN REPUBLICA MOLDOVA </w:t>
            </w:r>
            <w:r w:rsidRPr="00D51751">
              <w:rPr>
                <w:rFonts w:ascii="Times New Roman" w:hAnsi="Times New Roman" w:cs="Times New Roman"/>
                <w:i/>
                <w:sz w:val="20"/>
                <w:szCs w:val="20"/>
                <w:lang w:val="ro-MD"/>
              </w:rPr>
              <w:t>(demers din 31.03.2025)</w:t>
            </w:r>
          </w:p>
        </w:tc>
        <w:tc>
          <w:tcPr>
            <w:tcW w:w="6661" w:type="dxa"/>
            <w:vMerge w:val="restart"/>
          </w:tcPr>
          <w:p w14:paraId="58DDDE8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1.Amânarea TVA la import, după modelul francez. Astfel, importatorii vor achita TVA nu în vamă, dar în momentul generării valorii adăugate – fie la vânzarea mărfii, fie la livrarea producției folosind utilajul importat. Măsura ar fi foarte eficientă pentru a impulsiona investițiile în producere, dar și pentru a contracara inflația.</w:t>
            </w:r>
          </w:p>
        </w:tc>
        <w:tc>
          <w:tcPr>
            <w:tcW w:w="4819" w:type="dxa"/>
            <w:vMerge w:val="restart"/>
          </w:tcPr>
          <w:p w14:paraId="52ADF51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Finanțelor</w:t>
            </w:r>
          </w:p>
          <w:p w14:paraId="769F973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Propunerea se va examina în cadrul exercițiului de transpunere a directivei 112/2006 privind TVA, proces în cadrul căruia se va examina oportunitatea preluării practicilor UE, precum și cu luarea în considerare a impactului bugetar.</w:t>
            </w:r>
          </w:p>
        </w:tc>
      </w:tr>
      <w:tr w:rsidR="00335E6F" w:rsidRPr="00502787" w14:paraId="3604E4A6" w14:textId="77777777">
        <w:trPr>
          <w:trHeight w:val="562"/>
        </w:trPr>
        <w:tc>
          <w:tcPr>
            <w:tcW w:w="556" w:type="dxa"/>
            <w:vMerge w:val="restart"/>
          </w:tcPr>
          <w:p w14:paraId="12E25ACA" w14:textId="77777777" w:rsidR="00335E6F" w:rsidRPr="00502787" w:rsidRDefault="00335E6F" w:rsidP="00502787">
            <w:pPr>
              <w:jc w:val="both"/>
              <w:rPr>
                <w:rFonts w:ascii="Times New Roman" w:hAnsi="Times New Roman" w:cs="Times New Roman"/>
                <w:sz w:val="20"/>
                <w:szCs w:val="20"/>
                <w:lang w:val="ro-MD"/>
              </w:rPr>
            </w:pPr>
          </w:p>
        </w:tc>
        <w:tc>
          <w:tcPr>
            <w:tcW w:w="2278" w:type="dxa"/>
            <w:vMerge/>
          </w:tcPr>
          <w:p w14:paraId="10C1B0EE"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71AD611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2.Un program larg de împrumuturi pentru studenții de meserie (piloți, șoferi de transport internațional, lăcătuși, specialiști în construcții, alte specialități tehnice), similar (și poate chiar conjunct) cu Prima casă, eventual țintind tinerii NEET, beneficiari rurali, militari în termen, detinuti.</w:t>
            </w:r>
          </w:p>
          <w:p w14:paraId="2373A0C1" w14:textId="77777777" w:rsidR="00335E6F" w:rsidRPr="00502787" w:rsidRDefault="00335E6F" w:rsidP="00502787">
            <w:pPr>
              <w:jc w:val="both"/>
              <w:rPr>
                <w:rFonts w:ascii="Times New Roman" w:hAnsi="Times New Roman" w:cs="Times New Roman"/>
                <w:sz w:val="20"/>
                <w:szCs w:val="20"/>
                <w:lang w:val="ro-MD"/>
              </w:rPr>
            </w:pPr>
          </w:p>
        </w:tc>
        <w:tc>
          <w:tcPr>
            <w:tcW w:w="4819" w:type="dxa"/>
            <w:vMerge w:val="restart"/>
          </w:tcPr>
          <w:p w14:paraId="5C90B1E1" w14:textId="04B4C1E1"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La moment, este în proces de elaborare Programul cadru de suport pentru crearea și dezvoltarea afacerilor, precum și a Metodologiei pentru evaluarea impactului urmare implementării programelor de granturi și dezvoltare oferite de ODA.</w:t>
            </w:r>
          </w:p>
        </w:tc>
      </w:tr>
      <w:tr w:rsidR="00335E6F" w:rsidRPr="00502787" w14:paraId="168CDB04" w14:textId="77777777">
        <w:trPr>
          <w:trHeight w:val="562"/>
        </w:trPr>
        <w:tc>
          <w:tcPr>
            <w:tcW w:w="556" w:type="dxa"/>
            <w:vMerge w:val="restart"/>
          </w:tcPr>
          <w:p w14:paraId="74C47AF6" w14:textId="77777777" w:rsidR="00335E6F" w:rsidRPr="00502787" w:rsidRDefault="00335E6F" w:rsidP="00502787">
            <w:pPr>
              <w:jc w:val="both"/>
              <w:rPr>
                <w:rFonts w:ascii="Times New Roman" w:hAnsi="Times New Roman" w:cs="Times New Roman"/>
                <w:sz w:val="20"/>
                <w:szCs w:val="20"/>
                <w:lang w:val="ro-MD"/>
              </w:rPr>
            </w:pPr>
          </w:p>
        </w:tc>
        <w:tc>
          <w:tcPr>
            <w:tcW w:w="2278" w:type="dxa"/>
            <w:vMerge/>
          </w:tcPr>
          <w:p w14:paraId="30AE1439"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214A951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3.Acces la piețele de export pentru întreprinderile din Moldova - mai ales la servicii, și în speță - la transportul rutier de marfă. Altfel, antreprenorii noștri sunt obligați să se conformeze rigorilor UE, fără să-și poată mări veniturile, accesând la piața comunitară.</w:t>
            </w:r>
          </w:p>
          <w:p w14:paraId="45457628" w14:textId="77777777" w:rsidR="00335E6F" w:rsidRPr="00502787" w:rsidRDefault="00335E6F" w:rsidP="00502787">
            <w:pPr>
              <w:jc w:val="both"/>
              <w:rPr>
                <w:rFonts w:ascii="Times New Roman" w:hAnsi="Times New Roman" w:cs="Times New Roman"/>
                <w:sz w:val="20"/>
                <w:szCs w:val="20"/>
                <w:lang w:val="ro-MD"/>
              </w:rPr>
            </w:pPr>
          </w:p>
        </w:tc>
        <w:tc>
          <w:tcPr>
            <w:tcW w:w="4819" w:type="dxa"/>
            <w:vMerge w:val="restart"/>
          </w:tcPr>
          <w:p w14:paraId="14D2B33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Ministerul Infrastructurii și Dezvoltării Regionale</w:t>
            </w:r>
          </w:p>
          <w:p w14:paraId="7232719D" w14:textId="77777777" w:rsidR="00335E6F" w:rsidRPr="00502787" w:rsidRDefault="00335E6F" w:rsidP="00502787">
            <w:pPr>
              <w:jc w:val="both"/>
              <w:rPr>
                <w:rFonts w:ascii="Times New Roman" w:hAnsi="Times New Roman" w:cs="Times New Roman"/>
                <w:sz w:val="20"/>
                <w:szCs w:val="20"/>
                <w:lang w:val="ro-MD"/>
              </w:rPr>
            </w:pPr>
          </w:p>
          <w:p w14:paraId="143D810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Întru facilitarea comerțului cu UE a fost prelungit Acordul dintre Uniunea Europeană și Republica Moldova privind transportul rutier de mărfuri până la 31 decembrie 2025, oferind multiple beneficii pentru ambele părți. Astfel, nu sunt necesare autorizații speciale pentru efectuarea transporturilor rutiere de mărfuri în Uniunea Europeană. Ca urmare a acestui acord, exporturile și importurile între Republica Moldova și Uniunea Europeană au înregistrat o creștere considerabilă, iar Republica Moldova beneficiază acum de o piață europeană mai sigură și mai stabilă, consolidându-și poziția în relațiile comerciale internaționale. Începând cu 2023, transportul rutier de mărfuri între Moldova și Uniunea Europeană a crescut cu 15%, ceea ce reflectă o intensificare a fluxurilor comerciale. De asemenea, exporturile moldovenești către statele membre ale Uniunii Europene au evoluat semnificativ, înregistrând o creștere de la 5.308 milioane USD în perioada iulie-septembrie 2022, la 6.751 milioane USD în aceeași perioadă din 2023. Aceste date confirmă impactul pozitiv al acordului asupra economiei Republicii Moldova, care continuă să profite de oportunitățile oferite de o piață europeană mai integrată și mai accesibilă.</w:t>
            </w:r>
          </w:p>
        </w:tc>
      </w:tr>
      <w:tr w:rsidR="00335E6F" w:rsidRPr="00502787" w14:paraId="019F2D92" w14:textId="77777777">
        <w:trPr>
          <w:trHeight w:val="562"/>
        </w:trPr>
        <w:tc>
          <w:tcPr>
            <w:tcW w:w="556" w:type="dxa"/>
            <w:vMerge w:val="restart"/>
          </w:tcPr>
          <w:p w14:paraId="34BAF5A1" w14:textId="77777777" w:rsidR="00335E6F" w:rsidRPr="00502787" w:rsidRDefault="00335E6F" w:rsidP="00502787">
            <w:pPr>
              <w:jc w:val="both"/>
              <w:rPr>
                <w:rFonts w:ascii="Times New Roman" w:hAnsi="Times New Roman" w:cs="Times New Roman"/>
                <w:sz w:val="20"/>
                <w:szCs w:val="20"/>
                <w:lang w:val="ro-MD"/>
              </w:rPr>
            </w:pPr>
          </w:p>
        </w:tc>
        <w:tc>
          <w:tcPr>
            <w:tcW w:w="2278" w:type="dxa"/>
            <w:vMerge w:val="restart"/>
          </w:tcPr>
          <w:p w14:paraId="036DFEC7"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2DD3D13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4.Identificarea piețelor înguste pentru serviciile de interes economic general și subvenționarea consumatorilor cu venituri mici. Astfel vom atinge efectul triplu de susținere a păturilor defavorizate, mărire a veniturilor afacerilor locale și stimulare a performaței și competiției.</w:t>
            </w:r>
          </w:p>
        </w:tc>
        <w:tc>
          <w:tcPr>
            <w:tcW w:w="4819" w:type="dxa"/>
            <w:vMerge w:val="restart"/>
          </w:tcPr>
          <w:p w14:paraId="320EECCC" w14:textId="77777777" w:rsidR="00335E6F" w:rsidRPr="00502787" w:rsidRDefault="00335E6F" w:rsidP="00502787">
            <w:pPr>
              <w:jc w:val="both"/>
              <w:rPr>
                <w:rFonts w:ascii="Times New Roman" w:hAnsi="Times New Roman" w:cs="Times New Roman"/>
                <w:sz w:val="20"/>
                <w:szCs w:val="20"/>
                <w:lang w:val="ro-MD"/>
              </w:rPr>
            </w:pPr>
          </w:p>
        </w:tc>
      </w:tr>
      <w:tr w:rsidR="00335E6F" w:rsidRPr="00502787" w14:paraId="5FD13BEB" w14:textId="77777777">
        <w:trPr>
          <w:trHeight w:val="562"/>
        </w:trPr>
        <w:tc>
          <w:tcPr>
            <w:tcW w:w="556" w:type="dxa"/>
            <w:vMerge w:val="restart"/>
          </w:tcPr>
          <w:p w14:paraId="52A3FD40" w14:textId="77777777" w:rsidR="00335E6F" w:rsidRPr="00502787" w:rsidRDefault="00335E6F" w:rsidP="00502787">
            <w:pPr>
              <w:jc w:val="both"/>
              <w:rPr>
                <w:rFonts w:ascii="Times New Roman" w:hAnsi="Times New Roman" w:cs="Times New Roman"/>
                <w:sz w:val="20"/>
                <w:szCs w:val="20"/>
                <w:lang w:val="ro-MD"/>
              </w:rPr>
            </w:pPr>
          </w:p>
        </w:tc>
        <w:tc>
          <w:tcPr>
            <w:tcW w:w="2278" w:type="dxa"/>
            <w:vMerge w:val="restart"/>
          </w:tcPr>
          <w:p w14:paraId="78375777"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7E23660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5.Mecanismele de creditare de piață trebuie să prevaleze asupra celor de intervenționiste. Nivelul lichidităților la bănci este mult superior oricăror posibile intervenții din partea ODA, FACEM și alte programe publice.</w:t>
            </w:r>
          </w:p>
          <w:p w14:paraId="2F0D95F9" w14:textId="77777777" w:rsidR="00335E6F" w:rsidRPr="00502787" w:rsidRDefault="00335E6F" w:rsidP="00502787">
            <w:pPr>
              <w:jc w:val="both"/>
              <w:rPr>
                <w:rFonts w:ascii="Times New Roman" w:hAnsi="Times New Roman" w:cs="Times New Roman"/>
                <w:sz w:val="20"/>
                <w:szCs w:val="20"/>
                <w:lang w:val="ro-MD"/>
              </w:rPr>
            </w:pPr>
          </w:p>
        </w:tc>
        <w:tc>
          <w:tcPr>
            <w:tcW w:w="4819" w:type="dxa"/>
            <w:vMerge w:val="restart"/>
          </w:tcPr>
          <w:p w14:paraId="373F484D" w14:textId="77777777" w:rsidR="00335E6F" w:rsidRPr="00502787" w:rsidRDefault="00335E6F" w:rsidP="00502787">
            <w:pPr>
              <w:jc w:val="both"/>
              <w:rPr>
                <w:rFonts w:ascii="Times New Roman" w:hAnsi="Times New Roman" w:cs="Times New Roman"/>
                <w:sz w:val="20"/>
                <w:szCs w:val="20"/>
                <w:lang w:val="ro-MD"/>
              </w:rPr>
            </w:pPr>
          </w:p>
          <w:p w14:paraId="11C5797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Guvernul nu are pârghii de a interveni în politica de creditare a băncilor comerciale.</w:t>
            </w:r>
          </w:p>
        </w:tc>
      </w:tr>
      <w:tr w:rsidR="00335E6F" w:rsidRPr="00502787" w14:paraId="04DE1AF1" w14:textId="77777777">
        <w:trPr>
          <w:trHeight w:val="562"/>
        </w:trPr>
        <w:tc>
          <w:tcPr>
            <w:tcW w:w="556" w:type="dxa"/>
            <w:vMerge w:val="restart"/>
          </w:tcPr>
          <w:p w14:paraId="78F48BF9" w14:textId="77777777" w:rsidR="00335E6F" w:rsidRPr="00502787" w:rsidRDefault="00335E6F" w:rsidP="00502787">
            <w:pPr>
              <w:jc w:val="both"/>
              <w:rPr>
                <w:rFonts w:ascii="Times New Roman" w:hAnsi="Times New Roman" w:cs="Times New Roman"/>
                <w:sz w:val="20"/>
                <w:szCs w:val="20"/>
                <w:lang w:val="ro-MD"/>
              </w:rPr>
            </w:pPr>
          </w:p>
        </w:tc>
        <w:tc>
          <w:tcPr>
            <w:tcW w:w="2278" w:type="dxa"/>
            <w:vMerge w:val="restart"/>
          </w:tcPr>
          <w:p w14:paraId="58AAB4FC"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27EE062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Transport rutier de persoane</w:t>
            </w:r>
          </w:p>
          <w:p w14:paraId="716FFC5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Probleme fundamentale</w:t>
            </w:r>
            <w:r w:rsidRPr="00502787">
              <w:rPr>
                <w:rFonts w:ascii="Times New Roman" w:eastAsiaTheme="minorEastAsia" w:hAnsi="Times New Roman" w:cs="Times New Roman"/>
                <w:sz w:val="20"/>
                <w:szCs w:val="20"/>
                <w:lang w:val="ro-MD"/>
              </w:rPr>
              <w:t>:</w:t>
            </w:r>
          </w:p>
          <w:p w14:paraId="7031339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Piață subțire (thin market): totalitatea veniturilor nu acoperă nici costurile directe, fără șanse ca operatorii să-și permită investiții în renovarea flotei și a bazei materiale;</w:t>
            </w:r>
          </w:p>
          <w:p w14:paraId="2A95A79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Riscuri curente de sustenabilitate: penurie de resurse umane și de flotă performantă și riscuri viitoare de sustenabilitate : incompatibilitate a flotei existente cu exigențele de mediu și de siguranță;</w:t>
            </w:r>
          </w:p>
          <w:p w14:paraId="4A4AFD1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Acces dificil la piață – este practic imposibil pentru transportatorii existenți să opereze pe rute noi din proprie inițiativă;</w:t>
            </w:r>
          </w:p>
          <w:p w14:paraId="39DBF56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Congestiune a gărilor (accesul la peroane este dificil) și congestiune a punctelor de trecere a frontierei; </w:t>
            </w:r>
          </w:p>
          <w:p w14:paraId="46635EE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Dezechilibre distributive – chiar dacă transportul publicare efecte pozitive sociale și de mediu, practic nu există stimulente fiscale la nivel de operatori sau consumatori.</w:t>
            </w:r>
          </w:p>
          <w:p w14:paraId="6D3C3A2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3A90B906"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Viziune:</w:t>
            </w:r>
          </w:p>
          <w:p w14:paraId="5D16EB9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dezvolta un sistem de transport public competitiv și incluziv, cu integritate fiscală, prin promovare consistentă de politici pe cinci direcții-cheie:</w:t>
            </w:r>
          </w:p>
          <w:p w14:paraId="535862C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stimularea unei piețe competitive;</w:t>
            </w:r>
          </w:p>
          <w:p w14:paraId="00D2809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susținere fiscală pentru operatori;</w:t>
            </w:r>
          </w:p>
          <w:p w14:paraId="269B732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subvenții pentru consumatorii vulnerabili;</w:t>
            </w:r>
          </w:p>
          <w:p w14:paraId="349D5A4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digitalizare;</w:t>
            </w:r>
          </w:p>
          <w:p w14:paraId="139D93E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infrastructură adecvată pentru servicii de transport.</w:t>
            </w:r>
          </w:p>
          <w:p w14:paraId="1F40AE6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w:t>
            </w:r>
          </w:p>
          <w:p w14:paraId="0F7033BA"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Obiective și direcții prioritare:</w:t>
            </w:r>
          </w:p>
          <w:p w14:paraId="5E7D112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7F086F5A"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A.Extinderea pieței</w:t>
            </w:r>
          </w:p>
          <w:p w14:paraId="01A4D83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2C078E0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Vouchere pentru seniori, tineri, persoane cu dizabilități și alți concetățeni dezavantajați; </w:t>
            </w:r>
          </w:p>
          <w:p w14:paraId="38E0401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Mai multă libertate pentru operatori în deschiderea de noi rute; </w:t>
            </w:r>
          </w:p>
          <w:p w14:paraId="0E06A0E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Mai multă  libertate pentru operatori în stabilirea tarifelor; </w:t>
            </w:r>
          </w:p>
          <w:p w14:paraId="2F56D20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Stații multimodale (feroviar - rutier);</w:t>
            </w:r>
          </w:p>
          <w:p w14:paraId="30C3F47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Liberalizarea serviciilor internaționale de transportrutier. </w:t>
            </w:r>
          </w:p>
          <w:p w14:paraId="688558B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EA9FB49"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B.Ameliorarea sustenabilității ramurii (mediu, resurse operaționale, finanțe)</w:t>
            </w:r>
            <w:r w:rsidRPr="00502787">
              <w:rPr>
                <w:rFonts w:ascii="Times New Roman" w:eastAsiaTheme="minorEastAsia" w:hAnsi="Times New Roman" w:cs="Times New Roman"/>
                <w:sz w:val="20"/>
                <w:szCs w:val="20"/>
                <w:lang w:val="ro-MD"/>
              </w:rPr>
              <w:t> </w:t>
            </w:r>
          </w:p>
          <w:p w14:paraId="3A1A1B4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Stimulente pentru achiziționarea de vehicule noi (TVA la import, dobândă subvenționată, prime de asigurare reduse sau subvenționate); </w:t>
            </w:r>
          </w:p>
          <w:p w14:paraId="1696358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Facilități pentru alimentarea vehiculelor electrice la terminalele de autobuze;</w:t>
            </w:r>
          </w:p>
          <w:p w14:paraId="1B8FA29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Inițierea unui program național (similar cu Prima Casă) pentru instruirea șoferilor comerciali;</w:t>
            </w:r>
          </w:p>
          <w:p w14:paraId="705CE63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Includerea transportului public de persoane în circuitul național al TVA-ului, începând de la cota 0%;</w:t>
            </w:r>
          </w:p>
          <w:p w14:paraId="36FA00F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Tranziția către tarife de utilizare a gărilor în locul comisioanelor din vânzarea biletelor;</w:t>
            </w:r>
          </w:p>
          <w:p w14:paraId="3003C3C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Promovarea determinata a tehnologiilor digitale (e-ticketing, e-vouchere, e-clearing, e- departure control system);</w:t>
            </w:r>
          </w:p>
          <w:p w14:paraId="1B7B283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Stimulente pentru transportatorii care promovează mijloace de achitare alternative numerarului;</w:t>
            </w:r>
          </w:p>
          <w:p w14:paraId="5EC2041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Stimulente pentru utilizarea energiei ecologice – la nivel de transportatori care operează vehicule ecologice și la nivel de stimulente fiscale pentru resursele energetice ecologice.</w:t>
            </w:r>
          </w:p>
          <w:p w14:paraId="5424D9B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24C089F6"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C.Stimulare a pieței competitive</w:t>
            </w:r>
            <w:r w:rsidRPr="00502787">
              <w:rPr>
                <w:rFonts w:ascii="Times New Roman" w:eastAsiaTheme="minorEastAsia" w:hAnsi="Times New Roman" w:cs="Times New Roman"/>
                <w:sz w:val="20"/>
                <w:szCs w:val="20"/>
                <w:lang w:val="ro-MD"/>
              </w:rPr>
              <w:t> </w:t>
            </w:r>
          </w:p>
          <w:p w14:paraId="0979655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Mai multă libertate pentru operatori în deschiderea de noi rute și în perfecționarea celor existente;</w:t>
            </w:r>
          </w:p>
          <w:p w14:paraId="1132166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Mai multă libertate pentru operatori în stabilirea tarifelor;</w:t>
            </w:r>
          </w:p>
          <w:p w14:paraId="49910AD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C5982CA"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D.Reducerea  congestionării</w:t>
            </w:r>
            <w:r w:rsidRPr="00502787">
              <w:rPr>
                <w:rFonts w:ascii="Times New Roman" w:eastAsiaTheme="minorEastAsia" w:hAnsi="Times New Roman" w:cs="Times New Roman"/>
                <w:sz w:val="20"/>
                <w:szCs w:val="20"/>
                <w:lang w:val="ro-MD"/>
              </w:rPr>
              <w:t> </w:t>
            </w:r>
          </w:p>
          <w:p w14:paraId="70FB716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Acces echitabil și predictibil al operatorilor de transport la peroane;</w:t>
            </w:r>
          </w:p>
          <w:p w14:paraId="793B279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Facilitarea creării de noi stații și terminale;</w:t>
            </w:r>
          </w:p>
          <w:p w14:paraId="6D6B4A6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Evitarea ambuteiajelor,  permiterea  autobuzelor  interurbane să  utilizeze benzile de transport public în Chișinău și alte orașe și localități;</w:t>
            </w:r>
          </w:p>
          <w:p w14:paraId="4811932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Îmbunătățirea capacității punctelor de control la frontieră, prioritizarea transportului public.</w:t>
            </w:r>
          </w:p>
          <w:p w14:paraId="65471B4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73ED6F84"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E.Utilizarea externalităților și a efectelor de spill-over</w:t>
            </w:r>
          </w:p>
          <w:p w14:paraId="76DC122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Inițierea unui programde rambursare a accizelor la combustibil pentru transportul public; </w:t>
            </w:r>
          </w:p>
          <w:p w14:paraId="73B1AEC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Promovarea inițiativelor de transferuri fiscale de la afacerile locale către transportul public.</w:t>
            </w:r>
          </w:p>
          <w:p w14:paraId="028BA45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br w:type="page" w:clear="all"/>
            </w:r>
          </w:p>
          <w:p w14:paraId="422CB4E3"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F.Stimularea  inovației</w:t>
            </w:r>
          </w:p>
          <w:p w14:paraId="4824380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3086C4B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Asigurarea unui cadru normativ propice pentru operatorii de transport inovatori:</w:t>
            </w:r>
          </w:p>
          <w:p w14:paraId="3D35FF6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Operațional (confort sporit, internet la bord, vehicule cu emisii reduse, transporturi combinate, transporturi intermodale, transporturi prin sistem de hub regional);</w:t>
            </w:r>
          </w:p>
          <w:p w14:paraId="5B9387C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Comercial (abonamente, tarife diversificate, canale de vânzări diversificate).</w:t>
            </w:r>
          </w:p>
          <w:p w14:paraId="45CCBF1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ACB1750"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G.Asigurarea principială că orice cerințe de siguranță și calitate nu vor restricționa exagerat accesul la piață sau costurile de operare</w:t>
            </w:r>
          </w:p>
        </w:tc>
        <w:tc>
          <w:tcPr>
            <w:tcW w:w="4819" w:type="dxa"/>
            <w:vMerge w:val="restart"/>
          </w:tcPr>
          <w:p w14:paraId="3C4A48F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Infrastructurii și Dezvoltării Regionale</w:t>
            </w:r>
          </w:p>
          <w:p w14:paraId="08DE94C3" w14:textId="77777777" w:rsidR="00335E6F" w:rsidRPr="00502787" w:rsidRDefault="00335E6F" w:rsidP="00502787">
            <w:pPr>
              <w:jc w:val="both"/>
              <w:rPr>
                <w:rFonts w:ascii="Times New Roman" w:hAnsi="Times New Roman" w:cs="Times New Roman"/>
                <w:sz w:val="20"/>
                <w:szCs w:val="20"/>
                <w:lang w:val="ro-MD"/>
              </w:rPr>
            </w:pPr>
          </w:p>
          <w:p w14:paraId="5DFDAC9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Menționăm că propunerile date nu pot fi acceptate reieșind din faptul că nu se încadrează în conceptul și obiectivele Agendei de Reforme. Totuși aceste propuneri </w:t>
            </w:r>
            <w:r w:rsidRPr="00502787">
              <w:rPr>
                <w:rFonts w:ascii="Times New Roman" w:hAnsi="Times New Roman" w:cs="Times New Roman"/>
                <w:sz w:val="20"/>
                <w:szCs w:val="20"/>
                <w:lang w:val="ro-MD"/>
              </w:rPr>
              <w:lastRenderedPageBreak/>
              <w:t xml:space="preserve">urmează a fi analizate și după caz, incluse în Programul pentru implementarea Strategiei de mobilitate 2030.  </w:t>
            </w:r>
          </w:p>
          <w:p w14:paraId="67D22B90" w14:textId="77777777" w:rsidR="00335E6F" w:rsidRPr="00502787" w:rsidRDefault="00335E6F" w:rsidP="00502787">
            <w:pPr>
              <w:jc w:val="both"/>
              <w:rPr>
                <w:rFonts w:ascii="Times New Roman" w:hAnsi="Times New Roman" w:cs="Times New Roman"/>
                <w:sz w:val="20"/>
                <w:szCs w:val="20"/>
                <w:lang w:val="ro-MD"/>
              </w:rPr>
            </w:pPr>
          </w:p>
        </w:tc>
      </w:tr>
      <w:tr w:rsidR="00335E6F" w:rsidRPr="00502787" w14:paraId="2E6ABEB2" w14:textId="77777777">
        <w:trPr>
          <w:trHeight w:val="3020"/>
        </w:trPr>
        <w:tc>
          <w:tcPr>
            <w:tcW w:w="556" w:type="dxa"/>
            <w:vMerge w:val="restart"/>
          </w:tcPr>
          <w:p w14:paraId="57BC4B0B" w14:textId="77777777" w:rsidR="00335E6F" w:rsidRPr="00502787" w:rsidRDefault="00335E6F" w:rsidP="00502787">
            <w:pPr>
              <w:jc w:val="both"/>
              <w:rPr>
                <w:rFonts w:ascii="Times New Roman" w:hAnsi="Times New Roman" w:cs="Times New Roman"/>
                <w:sz w:val="20"/>
                <w:szCs w:val="20"/>
                <w:lang w:val="ro-MD"/>
              </w:rPr>
            </w:pPr>
          </w:p>
        </w:tc>
        <w:tc>
          <w:tcPr>
            <w:tcW w:w="2278" w:type="dxa"/>
            <w:vMerge w:val="restart"/>
          </w:tcPr>
          <w:p w14:paraId="6D97C760"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72C89AA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Transport rutier de mărfuri</w:t>
            </w:r>
          </w:p>
          <w:p w14:paraId="14E28870"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Probleme fundamentale:</w:t>
            </w:r>
            <w:r w:rsidRPr="00502787">
              <w:rPr>
                <w:rFonts w:ascii="Times New Roman" w:eastAsiaTheme="minorEastAsia" w:hAnsi="Times New Roman" w:cs="Times New Roman"/>
                <w:sz w:val="20"/>
                <w:szCs w:val="20"/>
                <w:lang w:val="ro-MD"/>
              </w:rPr>
              <w:t> </w:t>
            </w:r>
          </w:p>
          <w:p w14:paraId="5198DCF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Congestionare a punctelor de trecere a frontierei și a terminalelor vamale : în rezultat avem o scădere semnificativă a productivității și o creștere imposibilă a costurilor operaționale;</w:t>
            </w:r>
          </w:p>
          <w:p w14:paraId="7061FD5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Riscuri imediate de sustenabilitate : penurie critică de resurse umane și de flotă performantă</w:t>
            </w:r>
          </w:p>
          <w:p w14:paraId="7A40FE5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Acces dificil la piață – operatorii de transport de marfă sunt dezavantajați față de cei din țările vecine.</w:t>
            </w:r>
          </w:p>
          <w:p w14:paraId="2A6A6D0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Riscuri viitoare de sustenabilitate : incompatibilitate a flotei existente cu exigențele de mediu și de siguranță;</w:t>
            </w:r>
          </w:p>
          <w:p w14:paraId="4FE59782" w14:textId="77777777" w:rsidR="00335E6F" w:rsidRPr="00502787" w:rsidRDefault="00335E6F" w:rsidP="00502787">
            <w:pPr>
              <w:jc w:val="both"/>
              <w:rPr>
                <w:rFonts w:ascii="Times New Roman" w:hAnsi="Times New Roman" w:cs="Times New Roman"/>
                <w:sz w:val="20"/>
                <w:szCs w:val="20"/>
                <w:lang w:val="ro-MD"/>
              </w:rPr>
            </w:pPr>
          </w:p>
          <w:p w14:paraId="35F23AA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i/>
                <w:iCs/>
                <w:sz w:val="20"/>
                <w:szCs w:val="20"/>
                <w:lang w:val="ro-MD"/>
              </w:rPr>
              <w:t>Viziune</w:t>
            </w:r>
            <w:r w:rsidRPr="00502787">
              <w:rPr>
                <w:rFonts w:ascii="Times New Roman" w:eastAsiaTheme="minorEastAsia" w:hAnsi="Times New Roman" w:cs="Times New Roman"/>
                <w:sz w:val="20"/>
                <w:szCs w:val="20"/>
                <w:lang w:val="ro-MD"/>
              </w:rPr>
              <w:t>: </w:t>
            </w:r>
          </w:p>
          <w:p w14:paraId="28C01B9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susține dezvoltarea operatorilor privați de transport marfă, care vor fi atractivi pentru economia națională și vor fi capabili să opereze exporturi de servicii, prin promovare consistentă de politici pe cinci direcții-cheie: </w:t>
            </w:r>
          </w:p>
          <w:p w14:paraId="6CF029C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Reducerea drastică a congestionării în punctele critice;</w:t>
            </w:r>
          </w:p>
          <w:p w14:paraId="5480A08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Susținere fiscală pentru operatorii de transport și pentru resursele energetice ecologice;</w:t>
            </w:r>
          </w:p>
          <w:p w14:paraId="659B02A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Lărgirea contingentului de șoferi pentru servicii internaționale de transport;</w:t>
            </w:r>
          </w:p>
          <w:p w14:paraId="06C2AA6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Liberalizare a acordurilor internaționale de transport;</w:t>
            </w:r>
          </w:p>
          <w:p w14:paraId="7510C99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Digitalizare a serviciilor publice și infrastructură modernă pentru servicii de transport;</w:t>
            </w:r>
          </w:p>
          <w:p w14:paraId="2011EC2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6A9DC020"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Obiective și direcții prioritare:</w:t>
            </w:r>
          </w:p>
          <w:p w14:paraId="40E086A8"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A.Reducerea congestionării la punctele de control la frontieră (creșterea eficienței vămilor și reducerea costurilor de congestie)</w:t>
            </w:r>
            <w:r w:rsidRPr="00502787">
              <w:rPr>
                <w:rFonts w:ascii="Times New Roman" w:eastAsiaTheme="minorEastAsia" w:hAnsi="Times New Roman" w:cs="Times New Roman"/>
                <w:sz w:val="20"/>
                <w:szCs w:val="20"/>
                <w:lang w:val="ro-MD"/>
              </w:rPr>
              <w:t> </w:t>
            </w:r>
          </w:p>
          <w:p w14:paraId="009ABE9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Acces echitabil și predictibil la punctele de control la frontieră, implementarea cozii electronice;</w:t>
            </w:r>
          </w:p>
          <w:p w14:paraId="4B8F4FD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Facilitarea creării de platforme de parcare-așteptare;</w:t>
            </w:r>
          </w:p>
          <w:p w14:paraId="53F7F8C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Îmbunătățirea capacității punctelor de control la frontieră, sincronizarea cu țările vecine, stabilirea de linii prioritare dedicate;</w:t>
            </w:r>
          </w:p>
          <w:p w14:paraId="6B0EC1C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Prioritizarea transportului de animale vii, declarația electronică prealabilă TIR, transportului de perisabile;</w:t>
            </w:r>
          </w:p>
          <w:p w14:paraId="302CDBF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Îmbunătățirea terminalelor vamale interne.</w:t>
            </w:r>
          </w:p>
          <w:p w14:paraId="43FE6EB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12EA24DF"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B.Îmbunătățirea sustenabilității pe termen scurt (mediu, operațiuni, finanțe)</w:t>
            </w:r>
            <w:r w:rsidRPr="00502787">
              <w:rPr>
                <w:rFonts w:ascii="Times New Roman" w:eastAsiaTheme="minorEastAsia" w:hAnsi="Times New Roman" w:cs="Times New Roman"/>
                <w:sz w:val="20"/>
                <w:szCs w:val="20"/>
                <w:lang w:val="ro-MD"/>
              </w:rPr>
              <w:t> </w:t>
            </w:r>
          </w:p>
          <w:p w14:paraId="3B952FF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Stimulente fiscale pentru achiziționarea de vehicule noi (Euro-6) ( anulare TVA la import, dobândă subvenționată, prime de asigurare reduse sau subvenționate);</w:t>
            </w:r>
          </w:p>
          <w:p w14:paraId="655CFB7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Inițierea unui program național (similar cu Prima Casă) pentru instruirea șoferilor comerciali, îmbunătățirea curiculei, includerea instruirii la simulator, curs și certificare EcoDrive;</w:t>
            </w:r>
          </w:p>
          <w:p w14:paraId="3B2869B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Îmbunătățirea procedurilor de validare și de permis de muncă pentru șoferii străini pentru operatorii moldoveni;</w:t>
            </w:r>
          </w:p>
          <w:p w14:paraId="186D392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Promovarea e-tehnologiilor, angajament puternic pentru digitalizarea tuturor licențelor, autorizațiilor și permiselor până în 2027;</w:t>
            </w:r>
          </w:p>
          <w:p w14:paraId="3136373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Sincronizarea cu părțile relevante (BSEC, ECMT, alte state) pentru e-autorizări;</w:t>
            </w:r>
          </w:p>
          <w:p w14:paraId="07F09BE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Facilitarea digitalizării comerțului: E-CMR, E-trade;</w:t>
            </w:r>
          </w:p>
          <w:p w14:paraId="349A013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Carduri inteligente pentru tahografe;</w:t>
            </w:r>
          </w:p>
          <w:p w14:paraId="132CED4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Restituire accize la combustibil.</w:t>
            </w:r>
          </w:p>
          <w:p w14:paraId="3D9777E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76E00B8B"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C.Facilitarea accesului la piața internațională</w:t>
            </w:r>
            <w:r w:rsidRPr="00502787">
              <w:rPr>
                <w:rFonts w:ascii="Times New Roman" w:eastAsiaTheme="minorEastAsia" w:hAnsi="Times New Roman" w:cs="Times New Roman"/>
                <w:sz w:val="20"/>
                <w:szCs w:val="20"/>
                <w:lang w:val="ro-MD"/>
              </w:rPr>
              <w:t> </w:t>
            </w:r>
          </w:p>
          <w:p w14:paraId="0C27D4E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Liberalizarea acordurilor de transport, extinderea numărului de autorizații de transport acolo unde liberalizarea nu este posibilă, accent serios pe UE-țară terță, acord bilateral transport liber în regim liber Moldova-China;</w:t>
            </w:r>
          </w:p>
          <w:p w14:paraId="6F1F49B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Respectarea politicilor de facilități fiscale cu țările vecine, în particular ce ține de restituirea TVA;</w:t>
            </w:r>
          </w:p>
          <w:p w14:paraId="1E5B698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Rezolvarea problemei celor 90 de zile Schengen pentru șoferii cu cetățenie a Republicii Moldova</w:t>
            </w:r>
          </w:p>
          <w:p w14:paraId="33ECA36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Obținerea calității de membru deplin NCTS (New Computerized Transit System).</w:t>
            </w:r>
          </w:p>
          <w:p w14:paraId="1844AEA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1DEE3F60"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D.Îmbunătățirea sustenabilității pe termen lung</w:t>
            </w:r>
          </w:p>
          <w:p w14:paraId="58020A8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Inițierea unui program național (similar RABLA) pentru susținerea reînnoirii flotei și a achiziției vehiculelor verzi</w:t>
            </w:r>
          </w:p>
          <w:p w14:paraId="615A05C0"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E.Utilizarea externalităților și a efectelor de spill-over</w:t>
            </w:r>
          </w:p>
          <w:p w14:paraId="559B7F8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497728C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Dezvoltarea centrelor logistice multimodale</w:t>
            </w:r>
          </w:p>
          <w:p w14:paraId="7B64BEAC"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F.Asigurarea principială că orice cerințe de siguranță și calitate nu vor restricționa exagerat accesul la piață sau costurile de operare</w:t>
            </w:r>
          </w:p>
        </w:tc>
        <w:tc>
          <w:tcPr>
            <w:tcW w:w="4819" w:type="dxa"/>
            <w:vMerge w:val="restart"/>
          </w:tcPr>
          <w:p w14:paraId="62F3BEE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Infrastructurii și Dezvoltării Regionale</w:t>
            </w:r>
          </w:p>
          <w:p w14:paraId="3BEF657B" w14:textId="77777777" w:rsidR="00335E6F" w:rsidRPr="00502787" w:rsidRDefault="00335E6F" w:rsidP="00502787">
            <w:pPr>
              <w:jc w:val="both"/>
              <w:rPr>
                <w:rFonts w:ascii="Times New Roman" w:hAnsi="Times New Roman" w:cs="Times New Roman"/>
                <w:sz w:val="20"/>
                <w:szCs w:val="20"/>
                <w:lang w:val="ro-MD"/>
              </w:rPr>
            </w:pPr>
          </w:p>
          <w:p w14:paraId="6A14F70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Menționăm că propunerile date nu pot fi acceptate reieșind din faptul că nu se încadrează în conceptul și obiectivele Agendei de Reforme. Totuși aceste propuneri urmează a fi analizate și după caz, incluse în Programul pentru implementarea Strategiei de mobilitate 2030.  </w:t>
            </w:r>
          </w:p>
          <w:p w14:paraId="41567F9F" w14:textId="77777777" w:rsidR="00335E6F" w:rsidRPr="00502787" w:rsidRDefault="00335E6F" w:rsidP="00502787">
            <w:pPr>
              <w:jc w:val="both"/>
              <w:rPr>
                <w:rFonts w:ascii="Times New Roman" w:hAnsi="Times New Roman" w:cs="Times New Roman"/>
                <w:sz w:val="20"/>
                <w:szCs w:val="20"/>
                <w:lang w:val="ro-MD"/>
              </w:rPr>
            </w:pPr>
          </w:p>
        </w:tc>
      </w:tr>
      <w:tr w:rsidR="00335E6F" w:rsidRPr="00502787" w14:paraId="14739245" w14:textId="77777777">
        <w:trPr>
          <w:trHeight w:val="562"/>
        </w:trPr>
        <w:tc>
          <w:tcPr>
            <w:tcW w:w="556" w:type="dxa"/>
            <w:vMerge w:val="restart"/>
          </w:tcPr>
          <w:p w14:paraId="50227486" w14:textId="77777777" w:rsidR="00335E6F" w:rsidRPr="00502787" w:rsidRDefault="00335E6F" w:rsidP="00502787">
            <w:pPr>
              <w:jc w:val="both"/>
              <w:rPr>
                <w:rFonts w:ascii="Times New Roman" w:hAnsi="Times New Roman" w:cs="Times New Roman"/>
                <w:sz w:val="20"/>
                <w:szCs w:val="20"/>
                <w:lang w:val="ro-MD"/>
              </w:rPr>
            </w:pPr>
          </w:p>
        </w:tc>
        <w:tc>
          <w:tcPr>
            <w:tcW w:w="2278" w:type="dxa"/>
            <w:vMerge w:val="restart"/>
          </w:tcPr>
          <w:p w14:paraId="54DD2BEB"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43EABE2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Întreținerea și construcția drumurilor</w:t>
            </w:r>
          </w:p>
          <w:p w14:paraId="1F8D813D"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Probleme fundamentale:</w:t>
            </w:r>
          </w:p>
          <w:p w14:paraId="12A3B4F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A.Reglementarea ineficientă și eșecurile pieței:</w:t>
            </w:r>
          </w:p>
          <w:p w14:paraId="2D61225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Lipsa unei planificări strategice pe termen mediu a lucrărilor de reabilitare și întreținere a infrastructurii rutiere cu acoperire financiară suficientă, stabilă și promtă. </w:t>
            </w:r>
          </w:p>
          <w:p w14:paraId="02705F6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Ne-efectuarea în termen a lucrărilor de reabilitare și intreținere, alocarea insufientă sau întârziată de fonduri duc iminent la costuri de intreținere si reabilitare mult mai mari si la costuri exagerate a operării vehiculelor.</w:t>
            </w:r>
          </w:p>
          <w:p w14:paraId="2C095B9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Acces dificil la piață pentru antreprenorii calificați în lucrări de infrastructură rutieră. Acest tip de activitate solicită bază materială solidă și resurse umane calificate, deci este esențial de a corela investițiile cu veniturile operaționale – altfel survine incapacitatea financiară. </w:t>
            </w:r>
          </w:p>
          <w:p w14:paraId="7E0BBA3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Veniturile întreprinderilor de construcție și reparație a infrastructurii rutiere sunt extrem de incerte și depind de alocările anuale în Fondul Rutier și licitațiile rezultante.</w:t>
            </w:r>
          </w:p>
          <w:p w14:paraId="22F5068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 xml:space="preserve">Concurența neloială din partea antreprenorilor necalificați, inclusiv din cauza lipsei unui clasificator al prestatorilor de lucrări de infrastructură. </w:t>
            </w:r>
          </w:p>
          <w:p w14:paraId="2D08952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Regulile actuale de achiziții nu prevăd criterii suficiente de calificare a antreprenorilor și de calitate a materialelor pentru adjudecarea contractelor  de lucrări de infrastructură, practic punând în aceleași condiții întreprinderile cu reputație, bază materială, specialiști performanți, sistem de management al calității – cu competitorii care nu au nimic din toate acestea. </w:t>
            </w:r>
          </w:p>
          <w:p w14:paraId="3D4EDBC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 consecință, condițiile economice ale contractelor afectează calitatea lucrărilor și sustenabilitatea antreprenorilor de calificare înaltă.</w:t>
            </w:r>
          </w:p>
          <w:p w14:paraId="15521645" w14:textId="77777777" w:rsidR="00335E6F" w:rsidRPr="00502787" w:rsidRDefault="00335E6F" w:rsidP="00502787">
            <w:pPr>
              <w:jc w:val="both"/>
              <w:rPr>
                <w:rFonts w:ascii="Times New Roman" w:hAnsi="Times New Roman" w:cs="Times New Roman"/>
                <w:sz w:val="20"/>
                <w:szCs w:val="20"/>
                <w:lang w:val="ro-MD"/>
              </w:rPr>
            </w:pPr>
          </w:p>
          <w:p w14:paraId="092D18A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Piață subțire – volumul redus al pieței nu le permite drumarilor să investească în baza materială performantă și în resurse umane de cea mai înaltă calificare.</w:t>
            </w:r>
          </w:p>
          <w:p w14:paraId="2217925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B.Riscuri de sustenabilitate imediate și pe termen lung pentru întreprinderile de lucrări de infrastructură: penurie critică de resurse umane și de echipament performant</w:t>
            </w:r>
          </w:p>
          <w:p w14:paraId="7D56CF8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C.Regulile șipracticile de exploatare sau întreținere insuficiente duc la reducerea utilității infrastructurii rutiere și măresc costurile de întreținere a infrastructurii și costurile operaționale ale vehiculelor.</w:t>
            </w:r>
          </w:p>
          <w:p w14:paraId="066359E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D.Congestionare a infrastructurii rutiere în unele noduri-intersecții și în punctele de trecere a frontierei.</w:t>
            </w:r>
          </w:p>
          <w:p w14:paraId="2C7D159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5B2027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Rândurile lungi la vamă afectează critic productivitatea – și în final competitivitatea - operatorilor de transport marfă, ceea ce se răsfrânge la costul transportării și la capacitatea  operațională.</w:t>
            </w:r>
          </w:p>
          <w:p w14:paraId="291498EC"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Viziune:</w:t>
            </w:r>
          </w:p>
          <w:p w14:paraId="163B507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dezvolta o rețea rutieră sigură, utilă și la costuri rezonabile ; a susține dezvoltarea și competitivitatea întreprinderilor de lucrări de infrastructură, prin promovare consistentă de politici pe cinci direcții-cheie:</w:t>
            </w:r>
          </w:p>
          <w:p w14:paraId="7C8B41B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056605A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Resurse alocate drumurilor de o manieră suficientă, predictibilă pe termen lung, transparentă;</w:t>
            </w:r>
          </w:p>
          <w:p w14:paraId="35F43D7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Modelarea strategiilor de achiziții a lucrărilor de infrastructură, care să favorizeze dezvoltarea unor întreprinderi specializate competitive, înzestrate cu baze materiale și personal calificat;</w:t>
            </w:r>
          </w:p>
          <w:p w14:paraId="75E7285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Planificărea  strategică  pe  termen  mediu  a  lucrărilor  de reabilitare și  întreținere a infrastructurii rutiere, care să stea la baza alocării resurselor;</w:t>
            </w:r>
          </w:p>
          <w:p w14:paraId="400291B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Implementarea  practicilor de  exploatare și întreținere moderne pentru  a  maximiza eficiența și durata exploatării, dar și a minimiza costurile de întreținere;</w:t>
            </w:r>
          </w:p>
          <w:p w14:paraId="3D9C7DF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Digitalizare a gestiunii drumurilor publice.</w:t>
            </w:r>
          </w:p>
          <w:p w14:paraId="3799ECF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2725617B"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Obiective și direcții prioritare:</w:t>
            </w:r>
          </w:p>
          <w:p w14:paraId="60196EA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4AB77ECC"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lastRenderedPageBreak/>
              <w:t>A.Dezvoltarea pieței de lucrări de infrastructură</w:t>
            </w:r>
          </w:p>
          <w:p w14:paraId="7C88286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Fondul rutier independent de bugetul public, sau cu un grad înalt de autonomie, astfel ca resursele destinate infrastructurii rutiere să fie inalienabile;</w:t>
            </w:r>
          </w:p>
          <w:p w14:paraId="0E83F96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Gestiune strategică a activităților de exploatare, întreținere, reparații periodice, reparații capitale pe întreg ciclul de viață a infrastructurii, cu alocare de resurse conform necesităților, nu conform disponibilității. </w:t>
            </w:r>
          </w:p>
          <w:p w14:paraId="7802A3A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Actualizare a cadrului de achiziții a lucrărilor de infrastructură:</w:t>
            </w:r>
          </w:p>
          <w:p w14:paraId="184C237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Cerințe de calificare pentru contractori, care să includă bază materială, personal calificat, practici de management al calității;</w:t>
            </w:r>
          </w:p>
          <w:p w14:paraId="3BF96D4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Contracte de lucrări multianuale, cu prevederi compatibile cu cadrul FIDIC;</w:t>
            </w:r>
          </w:p>
          <w:p w14:paraId="6AE185C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Achiziții pe termen de 3-5 ani, în loc de achizițiile anuale practicate acum;</w:t>
            </w:r>
          </w:p>
          <w:p w14:paraId="68D6B08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4. Încurajarea participării antreprenorilor din Moldova în contractele internaționale de reabilitare a infrastructurii.</w:t>
            </w:r>
          </w:p>
          <w:p w14:paraId="0F3E5D7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669584AF"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B.Îmbunătățirea sustenabilității pe termen scurt (mediu, operațiuni, finanțe)</w:t>
            </w:r>
          </w:p>
          <w:p w14:paraId="11102C9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Stimulente fiscale pentru achiziționarea de echipament nou pentru lucrările de infrastructură (anulare TVA la import, dobândă subvenționată, prime de asigurare reduse sau subvenționate);</w:t>
            </w:r>
          </w:p>
          <w:p w14:paraId="348AFF0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Inițierea unui program național (similar cu Prima Casă) pentru instruirea inginerilor și a specialiștilor de infrastructură;</w:t>
            </w:r>
          </w:p>
          <w:p w14:paraId="5366CAD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Îmbunătățirea procedurilor de validare și de permis de muncă pentru inginerii și specialiștii străini antrenați în lucrările de infrastructură de către antreprenorii naționali.</w:t>
            </w:r>
          </w:p>
          <w:p w14:paraId="2981953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6B474942"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C.Ameliorarea normelorși activităților de exploatare și întreținere, pentru a spori utilitatea infrastructurii rutiere și a diminua costurile de întreținere a drumurilor și de exploatare a vehiculelor.</w:t>
            </w:r>
          </w:p>
          <w:p w14:paraId="28D24BBC" w14:textId="77777777" w:rsidR="00335E6F" w:rsidRPr="00502787" w:rsidRDefault="00335E6F" w:rsidP="00502787">
            <w:pPr>
              <w:jc w:val="both"/>
              <w:rPr>
                <w:rFonts w:ascii="Times New Roman" w:hAnsi="Times New Roman" w:cs="Times New Roman"/>
                <w:sz w:val="20"/>
                <w:szCs w:val="20"/>
                <w:lang w:val="ro-MD"/>
              </w:rPr>
            </w:pPr>
          </w:p>
          <w:p w14:paraId="26B02E5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Cântărirea în mișcare;</w:t>
            </w:r>
          </w:p>
          <w:p w14:paraId="4FEF48B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Cântare statice amplasate la obiectivele logistice și industriale cu risc de depășire a sarcinii pe osie (cariere, uzine, porturi, centre logistice);</w:t>
            </w:r>
          </w:p>
          <w:p w14:paraId="29C4ED9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Întreținerea de iarnă, care să cuprindă protocoluri de prevenire a ghețușului și măsuri de contingență în caz de intemperie;</w:t>
            </w:r>
          </w:p>
          <w:p w14:paraId="02DBAFA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Întreținerea de primăvară, plombarea promtă a gropilor, restabilirea promtă a marcajului ;</w:t>
            </w:r>
          </w:p>
          <w:p w14:paraId="40EE151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Autorizarea și gestiunea construcțiilor adiacente drumurilor, în special a obiectivelor comerciale;</w:t>
            </w:r>
          </w:p>
          <w:p w14:paraId="08AC36D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1C120B6"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D.Măsuri de reducere a congestionării în unele noduri-intersecții și în punctele de traversare a frontierei</w:t>
            </w:r>
          </w:p>
          <w:p w14:paraId="7910C5F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Lărgirea capacității punctelor de traversare a frontierei conform secțiunii A din recomandările pentru transportul rutier de mărfuri;</w:t>
            </w:r>
          </w:p>
          <w:p w14:paraId="1386E15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Abordare proactivă a intersecțiilor cu risc de congestionare, prin monitorizare sistematică a situației și măsuri de gestiune operativă (echipaje de poliție), tactică (semne de circulație, marcaj, semafoare) și strategică (sensuri giratorii, intersecții denivelate).</w:t>
            </w:r>
          </w:p>
        </w:tc>
        <w:tc>
          <w:tcPr>
            <w:tcW w:w="4819" w:type="dxa"/>
            <w:vMerge w:val="restart"/>
          </w:tcPr>
          <w:p w14:paraId="387F3CA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Infrastructurii și Dezvoltării Regionale</w:t>
            </w:r>
          </w:p>
          <w:p w14:paraId="0446335A" w14:textId="77777777" w:rsidR="00335E6F" w:rsidRPr="00502787" w:rsidRDefault="00335E6F" w:rsidP="00502787">
            <w:pPr>
              <w:jc w:val="both"/>
              <w:rPr>
                <w:rFonts w:ascii="Times New Roman" w:hAnsi="Times New Roman" w:cs="Times New Roman"/>
                <w:sz w:val="20"/>
                <w:szCs w:val="20"/>
                <w:lang w:val="ro-MD"/>
              </w:rPr>
            </w:pPr>
          </w:p>
          <w:p w14:paraId="142CBA0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Menționăm că propunerile date nu pot fi acceptate reieșind din faptul că nu se încadrează în conceptul și obiectivele Agendei de Reforme. Totuși aceste propuneri urmează a fi analizate și după caz, incluse în Programul pentru implementarea Strategiei de mobilitate 2030.  </w:t>
            </w:r>
          </w:p>
          <w:p w14:paraId="12E91FBF" w14:textId="77777777" w:rsidR="00335E6F" w:rsidRPr="00502787" w:rsidRDefault="00335E6F" w:rsidP="00502787">
            <w:pPr>
              <w:jc w:val="both"/>
              <w:rPr>
                <w:rFonts w:ascii="Times New Roman" w:hAnsi="Times New Roman" w:cs="Times New Roman"/>
                <w:sz w:val="20"/>
                <w:szCs w:val="20"/>
                <w:lang w:val="ro-MD"/>
              </w:rPr>
            </w:pPr>
          </w:p>
        </w:tc>
      </w:tr>
      <w:tr w:rsidR="00335E6F" w:rsidRPr="00502787" w14:paraId="2AD7CB5D" w14:textId="77777777">
        <w:trPr>
          <w:trHeight w:val="562"/>
        </w:trPr>
        <w:tc>
          <w:tcPr>
            <w:tcW w:w="556" w:type="dxa"/>
            <w:vMerge w:val="restart"/>
          </w:tcPr>
          <w:p w14:paraId="30BF172A" w14:textId="77777777" w:rsidR="00335E6F" w:rsidRPr="00502787" w:rsidRDefault="00335E6F" w:rsidP="00502787">
            <w:pPr>
              <w:jc w:val="both"/>
              <w:rPr>
                <w:rFonts w:ascii="Times New Roman" w:hAnsi="Times New Roman" w:cs="Times New Roman"/>
                <w:sz w:val="20"/>
                <w:szCs w:val="20"/>
                <w:lang w:val="ro-MD"/>
              </w:rPr>
            </w:pPr>
          </w:p>
        </w:tc>
        <w:tc>
          <w:tcPr>
            <w:tcW w:w="2278" w:type="dxa"/>
            <w:vMerge w:val="restart"/>
          </w:tcPr>
          <w:p w14:paraId="2DE885A5" w14:textId="77777777" w:rsidR="00335E6F" w:rsidRPr="00502787" w:rsidRDefault="00335E6F" w:rsidP="00502787">
            <w:pPr>
              <w:jc w:val="both"/>
              <w:rPr>
                <w:rFonts w:ascii="Times New Roman" w:hAnsi="Times New Roman" w:cs="Times New Roman"/>
                <w:sz w:val="20"/>
                <w:szCs w:val="20"/>
                <w:lang w:val="ro-MD"/>
              </w:rPr>
            </w:pPr>
          </w:p>
        </w:tc>
        <w:tc>
          <w:tcPr>
            <w:tcW w:w="6661" w:type="dxa"/>
            <w:vMerge w:val="restart"/>
          </w:tcPr>
          <w:p w14:paraId="4C5BC72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Transport feroviar</w:t>
            </w:r>
          </w:p>
          <w:p w14:paraId="77F53169"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Probleme fundamentale:</w:t>
            </w:r>
          </w:p>
          <w:p w14:paraId="1475731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78CD338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A.Piață subțire (thin market): În ultimii 30 de ani, mai mulți factori structurali au erodat semnificativ cererea de transport feroviar:</w:t>
            </w:r>
          </w:p>
          <w:p w14:paraId="733FFEF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Distanțele relativ scurte ale transportării;</w:t>
            </w:r>
          </w:p>
          <w:p w14:paraId="79253A0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Lipsa de infrastructură feroviară terminală;</w:t>
            </w:r>
          </w:p>
          <w:p w14:paraId="2430C2F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Lipsa politicilor de stimulare a transportului feroviar și a logisticii feroviare;</w:t>
            </w:r>
          </w:p>
          <w:p w14:paraId="7DB53BA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Adaptarea logisticii industriale la transport auto;</w:t>
            </w:r>
          </w:p>
          <w:p w14:paraId="2CBE440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Productivitatea scăzută a materialului rulant;</w:t>
            </w:r>
          </w:p>
          <w:p w14:paraId="1A4533D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Ineficiența procedurilor de tranzit transfrontalier cu România.</w:t>
            </w:r>
          </w:p>
          <w:p w14:paraId="6BE26A6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68193DE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 rezultat, volumul anual de 3-4M tone de marfă și mai puțin de 1000M tone-km este prea mic pentru a asigura supraviețuirea sectorului. Veniturile din transport de călători sunt foarte mici. De moment lipsesc contracte de servicii publice și alocări bugetare pentru întreținerea infrastructurii și transportul de călători.</w:t>
            </w:r>
          </w:p>
          <w:p w14:paraId="2B686ED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60719A4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B.Riscuri curente de sustenabilitate : operatorul național feroviar de circa 15 ani operează la limita incapacității financiare și are nevoie urgentă de lichidități și de stabilitate operațională. Cele trei resurse esențiale (infrastructură, material rulant, personal specializat) prezintă riscuri pronunțate de incapacitate operațională, e nevoie urgentă de finanțarea activităților de întreținere.</w:t>
            </w:r>
          </w:p>
          <w:p w14:paraId="01388404" w14:textId="77777777" w:rsidR="00335E6F" w:rsidRPr="00502787" w:rsidRDefault="00335E6F" w:rsidP="00502787">
            <w:pPr>
              <w:jc w:val="both"/>
              <w:rPr>
                <w:rFonts w:ascii="Times New Roman" w:hAnsi="Times New Roman" w:cs="Times New Roman"/>
                <w:sz w:val="20"/>
                <w:szCs w:val="20"/>
                <w:lang w:val="ro-MD"/>
              </w:rPr>
            </w:pPr>
          </w:p>
          <w:p w14:paraId="702D485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C.Riscuri de sustenabilitate pe termen lung: pe lângă riscurile curente, trebuie adăugate:</w:t>
            </w:r>
          </w:p>
          <w:p w14:paraId="143D4F5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Riscurile demografice legate de resursele umane, circa 60% din personalul CFM este trecut de 50 de ani;</w:t>
            </w:r>
          </w:p>
          <w:p w14:paraId="0F193C8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Expirarea resurselor de exploatare pentru toate vagoanele de marfă, locomotivele de manevră, garniturile și vagoanele pentru transport călători – din 2025 practic tot materialul rulant va depăși termenul normativ de exploatare și va circula în regim de derogare de la normele de siguranță;</w:t>
            </w:r>
          </w:p>
          <w:p w14:paraId="5634004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Starea critică a infrastructurii magistrale și a infrastructurii stațiilor și a terminalelor;</w:t>
            </w:r>
          </w:p>
          <w:p w14:paraId="23FB799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Necorespunderea locomotivelor vechi cu standardele de mediu din UE.</w:t>
            </w:r>
          </w:p>
          <w:p w14:paraId="0174488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D.Capacitate instituțională derizorie. La momentul actual atestăm insuficiență pe toate trei dimensiunile de management a sectorului feroviar:</w:t>
            </w:r>
          </w:p>
          <w:p w14:paraId="650E74F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Elaborare de politici – cadrul normativ actual nu oferă remedii incontestabile și universale pentru a asigura prosperitatea sectorului feroviar, practic nu avem resurse la nivel de autorități publice pentru a elabora și promova politici;</w:t>
            </w:r>
          </w:p>
          <w:p w14:paraId="76AA54D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Implementare a politicilor, supravegherea siguranței, asigurarea concurenței loiale – pentru a trece la o piață competitivă e nevoie de agenții capabile să asigure nivelul necesar de conformare a actorilor cu cerințele de siguranță și normele concurențiale. La moment agențiile sunt doar pe hârtie, iar personal calificat pentru a le funcționaliza nu există pe piață, din cauza naturii inovative a acestor agenții;</w:t>
            </w:r>
          </w:p>
          <w:p w14:paraId="7F84AB7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Gestiune operațională a infrastructurii și a operațiunilor de transport feroviar – nu avem experiență de gestiune a rețelei feroviare sub formă de servicii de infrastructură. Coroborat cu penuria cronică de resurse, restanțele de deceniiîn lucrări de reabilitare și întreținere a rețelei, materialul rulant învechit și nefiabil, lipsa de personal feroviar cu cunoștințe juridice și economice – și invers – lipsa de economiști și juriști cu cunoștințe feroviare – toate acestea duc la o fragilitate sporită a operatorului național.</w:t>
            </w:r>
          </w:p>
          <w:p w14:paraId="1FB3EB6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45A6DD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 fapt, noi nu dispunem de resurse umane pentru transformări majore, nici de finanțare disponibilă pentru a investi în capacitate, iar starea actuală a sistemului feroviar nu este atractivă pentru investitori și operatori feroviari redutabili.</w:t>
            </w:r>
          </w:p>
          <w:p w14:paraId="2C33A28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53EEBFF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E.Armonizarea cu acquisul comunitar și integrarea în TEN-T: reforma sectorială și adoptarea unor standarde categoricnoi generează anxietate în rândul angajaților CFM și reticență între comanditarii de servicii de logistică feroviară. Primii își consideră planurile de carieră – astfel agravând penuria de resurse umane, iar ultimii se orientează spre transportul rutier – în rezultat micșorând o piață deja subțire. Este esențial ca activitățile de reformă să aducă îmbunătățiri de la bun început și să sporească încrederea în proces din partea actorilor implicați – clienți, angajați, autorități publice.</w:t>
            </w:r>
          </w:p>
          <w:p w14:paraId="0947B6B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Reforma sectorială ar trebui să vină cu trei componente principale:</w:t>
            </w:r>
          </w:p>
          <w:p w14:paraId="1F3A06C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Introducerea competiției și a mecanismelor de piață prin separarea managementului infrastructurii de operațiunile de transport;</w:t>
            </w:r>
          </w:p>
          <w:p w14:paraId="1022571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Aplicarea normelor comunitare de competiție și siguranță prin crearea de entități publice (agenții) care să protejeze concurența și să supravegheze siguranța;</w:t>
            </w:r>
          </w:p>
          <w:p w14:paraId="10739E3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Garantarea de către stat a infrastructurii în stare adecvată și a continuității transportului de călători prin alocarea de fonduri publice pentru serviciile de interes general – întreținerea infrastructurii și transportul de călători. e că l ă t or i prin alocarea de fonduri publice</w:t>
            </w:r>
          </w:p>
          <w:p w14:paraId="3E8978C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br w:type="page" w:clear="all"/>
              <w:t> </w:t>
            </w:r>
          </w:p>
          <w:p w14:paraId="3AEC1BA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 realitate, autoritățile sunt preocupate de formă și practic deloc de conținut, astfel lipsa de fonduri alocate, capacitatea instituțională restrânsă, ignorarea realității operative și insistența pe celeritatea implementării duc  iminent la compromiterea definitivă a reformei și nu la atingerea obiectivelor scontate.</w:t>
            </w:r>
          </w:p>
          <w:p w14:paraId="0EECAA16" w14:textId="77777777" w:rsidR="00335E6F" w:rsidRPr="00502787" w:rsidRDefault="00335E6F" w:rsidP="00502787">
            <w:pPr>
              <w:jc w:val="both"/>
              <w:rPr>
                <w:rFonts w:ascii="Times New Roman" w:hAnsi="Times New Roman" w:cs="Times New Roman"/>
                <w:sz w:val="20"/>
                <w:szCs w:val="20"/>
                <w:lang w:val="ro-MD"/>
              </w:rPr>
            </w:pPr>
          </w:p>
          <w:p w14:paraId="2845C31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b. Trecerea la ecartamentul standard, electrificarea, adoptarea standardelor operaționale UE – este esențial ca promovarea inovațiilor să țină cont de valoarea </w:t>
            </w:r>
            <w:r w:rsidRPr="00502787">
              <w:rPr>
                <w:rFonts w:ascii="Times New Roman" w:eastAsiaTheme="minorEastAsia" w:hAnsi="Times New Roman" w:cs="Times New Roman"/>
                <w:sz w:val="20"/>
                <w:szCs w:val="20"/>
                <w:lang w:val="ro-MD"/>
              </w:rPr>
              <w:lastRenderedPageBreak/>
              <w:t>adăugată, capacitatea de implementare și gradul de pregătire a sectorului. De exemplu, standardele comunitare de calitate a deservirii călătorilor, de stare a materialului rulant, de alocare a capacităților de infrastructură, de siguranță a infrastructurii și a materialului rulant – toate acestea sunt absolumente necesare pentru un sector feroviar prosper, însă nu pot fiatinse doar prin adoptarea unor acte normative și introducerea de procese birocratice. Adoptarea pripită a normelor, coroborată cu capacitatea instituțională inexistentă nu vine decât să dăuneze obiectivelor urmărite sau să lase aceste norme doar pe hârtie, fără efecte reale.</w:t>
            </w:r>
          </w:p>
          <w:p w14:paraId="175B276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1F0425B1"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Viziune:</w:t>
            </w:r>
          </w:p>
          <w:p w14:paraId="7D26A76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dezvolta un sistem de transport feroviar competitiv și sustenabil, prin promovare consistentă de politici pe șase direcții-cheie:</w:t>
            </w:r>
          </w:p>
          <w:p w14:paraId="4EF10BC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Extinderea pieței de servicii feroviare, atât în volum, cât și în cifră de afaceri;</w:t>
            </w:r>
          </w:p>
          <w:p w14:paraId="105DF11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Asigurarea garantată a continuității operaționale a serviciilor feroviare;</w:t>
            </w:r>
          </w:p>
          <w:p w14:paraId="7EF7D03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Asigurarea sustenabilității resurselor esențiale pentru transportul feroviar – personal certificat, infrastructură magistrală și terminală, material rulant;</w:t>
            </w:r>
          </w:p>
          <w:p w14:paraId="03FC5A7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Reformarea   sectorului   orientată   spre  piață,  prin  îmbunătățirea   consecventă   a competiției, indicatorilor operaționali și atractivității logisticii feroviare;</w:t>
            </w:r>
          </w:p>
          <w:p w14:paraId="0326C0B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Încadrarea inteligentă a rețelei feroviare naționale în lanțurile logistice și coridoarele regionale;</w:t>
            </w:r>
          </w:p>
          <w:p w14:paraId="00BC55F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Armonizare cu normele comunitare concepută strategic - cu considerare de cost și efect, capacitate de implementare și resurse disponibile, nivel de pregătire a părților implicate.</w:t>
            </w:r>
          </w:p>
          <w:p w14:paraId="543ADFF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71AFD607" w14:textId="77777777" w:rsidR="00335E6F" w:rsidRPr="00502787" w:rsidRDefault="00335E6F" w:rsidP="00502787">
            <w:pPr>
              <w:jc w:val="both"/>
              <w:rPr>
                <w:rFonts w:ascii="Times New Roman" w:hAnsi="Times New Roman" w:cs="Times New Roman"/>
                <w:i/>
                <w:sz w:val="20"/>
                <w:szCs w:val="20"/>
                <w:lang w:val="ro-MD"/>
              </w:rPr>
            </w:pPr>
            <w:r w:rsidRPr="00502787">
              <w:rPr>
                <w:rFonts w:ascii="Times New Roman" w:eastAsiaTheme="minorEastAsia" w:hAnsi="Times New Roman" w:cs="Times New Roman"/>
                <w:i/>
                <w:iCs/>
                <w:sz w:val="20"/>
                <w:szCs w:val="20"/>
                <w:lang w:val="ro-MD"/>
              </w:rPr>
              <w:t>Obiective și direcții prioritare:</w:t>
            </w:r>
          </w:p>
          <w:p w14:paraId="01B2B193"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A.Extinderea pieței</w:t>
            </w:r>
          </w:p>
          <w:p w14:paraId="3F52FE9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Promovarea urgentă a unui contract multianual de întreținere a infrastructurii între Guvern și operatorul național de infrastructură feroviară și alocarea resurselor bugetare. Acest contract este posibil înaintea separării operaționale a ÎS ”Calea Ferată din Moldova”;</w:t>
            </w:r>
          </w:p>
          <w:p w14:paraId="6DFDA47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Promovarea urgentă a unui contract de servicii publice între Guvern și operatorul național de curse de călători și alocarea resurselor bugetare. Acest contract este posibil înaintea separării operaționale a ÎS ”Calea Ferată din Moldova”;</w:t>
            </w:r>
          </w:p>
          <w:p w14:paraId="369AA61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Politici de stimulare a transportării mărfurilor vagonabile – materiale de construcții, combustibil lichid și solid, cereale, fier uzat și articole din metal – pe cale feroviară. Acestea ar presupune taxe ecologice și de congestiune pentru transportul cu camioanele ale acestei nomenclaturi marfare și subvenții pentru agenții economici pentru reorientarea logisticii de la rutier spre feroviar;</w:t>
            </w:r>
          </w:p>
          <w:p w14:paraId="65E2CA2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Creșterea eficienței tranzitului transfrontalier a vagoanelor spre Romania – infrastructură de transbordare și transpunere, proceduri de predare a trenurilor între operatorii de transport feroviar, recunoașterea reciprocă a drepturilor de operare în gările de frontieră, proceduri vamale, infrastructură de control vamal;</w:t>
            </w:r>
          </w:p>
          <w:p w14:paraId="4871EF1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Vouchere de mobilitate pentru seniori, tineri, persoane cu dizabilități și alți concetățeni dezavantajați;</w:t>
            </w:r>
          </w:p>
          <w:p w14:paraId="55ED422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Stații multimodale (feroviar - rutier) – în acele localități unde amplasarea gărilor feroviare permite acest lucru.</w:t>
            </w:r>
          </w:p>
          <w:p w14:paraId="0A0FD05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1BB8BBAE"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B.Ameliorarea stării operatorului feroviar național</w:t>
            </w:r>
          </w:p>
          <w:p w14:paraId="1904B16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Dezvoltarea transportului feroviar nu poate fi concepută fără funcționarea stabilă a operatorului național – Calea Ferată din Moldova, indiferent de statutul său juridic sau misiunea sa operațională. Stabilitatea și eficiența operațională a CFM este principalul factor pentru extinderea pieței de servicii feroviare și dezvoltarea concurenței. Și dimpotrivă, incapacitarea CFM va duce la migrarea logisticii spre transport rutier decât la apariția de noi soluții feroviare. Revigorarea CFM trebuie să inspire încrederea pieței în serviciile sale, măsurile de susținere trebuie să fie nu doar necesare, dar și suficiente. Sarcina Guvernului pe termen scurt este stabilizarea și stabilitatea transportului feroviar.</w:t>
            </w:r>
          </w:p>
          <w:p w14:paraId="641719F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654C904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Completarea urgentă a fondului de rulment a CFM cu 500M lei prin injecție de capital și avansuri de la buget, vânzare de active neoperaționale (în primul rând imobile și fier uzat), credite bancare pe termen lung, restructurări ale datoriilor față de bugetul public și furnizorii de utilități;</w:t>
            </w:r>
          </w:p>
          <w:p w14:paraId="45486C7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Asigurarea proficienței operaționale prin alocarea directă de resurse bugetare – contractul multianual de întreținere a infrastructurii (400M lei anual) și contractul de servicii publice de transport călători (100M lei anual);</w:t>
            </w:r>
          </w:p>
          <w:p w14:paraId="06767F5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Asigurarea proficienței operaționale prin alocarea indirectă de resurse bugetare – subvenții pentru agenții economici pentru reorientarea logisticii de la rutier spre feroviar și vouchere de mobilitate pentru seniori, tineri, persoane cu dizabilități și alți concetățeni dezavantajați;</w:t>
            </w:r>
          </w:p>
          <w:p w14:paraId="0B00834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Stimulente pentru achiziționarea de material rulant, materiale pentru suprastructură, macarale și alt echipament feroviar nou – atât pentru CFM, cât și pentru agenții economici privați (TVA la import, dobândă subvenționată, prime de asigurare reduse sau subvenționate);</w:t>
            </w:r>
          </w:p>
          <w:p w14:paraId="2DB8FDA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Stabilirea unor reguli eficiente, echitabile, simple și transparente de utilizare a stațiilor CFM în comun cu partenerii privați pentru logistica feroviară a mărfurilor. CFM dispune de spații în gări și nu dispune de terminale marfare, echipament și depozite moderne. Acestea ar putea fi oferite de sectorul privat, însă nu în cadrul normativ existent;</w:t>
            </w:r>
          </w:p>
          <w:p w14:paraId="2CE6E43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Inițierea unui program național (similar cu Prima Casă) pentru instruirea mecanicilor de locomotivă și a altor profesioniști feroviari;</w:t>
            </w:r>
          </w:p>
          <w:p w14:paraId="30CE5DA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Promovarea determinata a tehnologiilor digitale (e-ticketing, e-CMR, e-vouchere, e-departure control system, e-infra).</w:t>
            </w:r>
          </w:p>
          <w:p w14:paraId="77EB048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0E190EAD"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C.Ameliorarea sustenabilității sectorului pe termen mediu (mediu, resurse operaționale, finanțe)</w:t>
            </w:r>
          </w:p>
          <w:p w14:paraId="7254CAB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Pe termen mediu, scopul Guvernului trebuie să fie crearea de condiții care să aducă eficiență și competitivitate în transportul feroviar. Factorii cheie ar fi creșterea volumelor transportate, eficiența proceselor operaționale, nivelul de susținere bugetară.</w:t>
            </w:r>
          </w:p>
          <w:p w14:paraId="39F13CA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 Managementul integrat al întreținerii infrastructurii feroviare publice, prin trei elemente de bază:</w:t>
            </w:r>
          </w:p>
          <w:p w14:paraId="76B07D7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programul național de întreținere a infrastructurii;</w:t>
            </w:r>
          </w:p>
          <w:p w14:paraId="6BC99A1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 contractul multianual de întreținere a nfrastructurii;</w:t>
            </w:r>
          </w:p>
          <w:p w14:paraId="302A35C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 taxele de utilizare a infrastructurii de către operatorii de transport feroviar.</w:t>
            </w:r>
          </w:p>
          <w:p w14:paraId="5E5D2A9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 Reabilitarea infrastructurii feroviare magistrale:</w:t>
            </w:r>
          </w:p>
          <w:p w14:paraId="3738D2C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implementarea cu succes a proiectelor investiționale Tighina-Basarabeasca-Giurgiulești și Vălcineț-Ungheni-Chișinău-Căinari;</w:t>
            </w:r>
          </w:p>
          <w:p w14:paraId="19FA0A6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 identificarea unor soluții de reabilitare pentru coridorul Bălți-Rîbnița și Chișinău-Tighina-Kuchurgan.</w:t>
            </w:r>
          </w:p>
          <w:p w14:paraId="286E1EE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 Program național de infrastructură terminală pentru logistica feroviară de marfă:</w:t>
            </w:r>
          </w:p>
          <w:p w14:paraId="23A39B8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Centre logistice multimodale la Chișinău, Ungheni și Giurgiulești;</w:t>
            </w:r>
          </w:p>
          <w:p w14:paraId="5692FC5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 Folosirea potențialului gărilor CFM pentru dezvoltarea terminalelor de marfă – containere, materiale de construcție, colectare de fier uzat, cereale, combustibil solid și lichid - în comun cu partenerii privați;</w:t>
            </w:r>
          </w:p>
          <w:p w14:paraId="5FE83F9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 Facilitarea dezvoltării de către privați ai terminalelor de marfă, prin simplificare a regulilor de autorizare a construcției, stimulente și subvenții fiscale și formulare de reguli clare privind accesul la infrastructura magistrală;</w:t>
            </w:r>
          </w:p>
          <w:p w14:paraId="6BDC92D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 Extinderea, împreuna cu partenerii din România și Ucraina, a capacităților infrastructurii de tranzit transfrontalier în zonele Ungheni-Iași și Giugiulești-Galați.</w:t>
            </w:r>
          </w:p>
          <w:p w14:paraId="07F94BA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4. Program național de modernizare a materialului rulant și a echipamentului feroviar, care va include măsuri de susținere a investițiilor – atât pentru CFM, cât și pentru agenții economici privați (TVA la import, credite refinanțate de la instituțiile financiare internaționale, garanții de stat, dobândă subvenționată, prime de asigurare reduse sau subvenționate):</w:t>
            </w:r>
          </w:p>
          <w:p w14:paraId="01D7CC3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Vagoane marfare;</w:t>
            </w:r>
          </w:p>
          <w:p w14:paraId="4EC11FB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 Locomotive de manevră;</w:t>
            </w:r>
          </w:p>
          <w:p w14:paraId="61EA4D8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 Locomotive magistrale;</w:t>
            </w:r>
          </w:p>
          <w:p w14:paraId="74AD1EA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 Macarale, echipament de transbordare și stivuire;</w:t>
            </w:r>
          </w:p>
          <w:p w14:paraId="307E4BC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 Echipamente și utilaje de întreținere și reparație a infrastructurii și a materialului rulant.</w:t>
            </w:r>
          </w:p>
          <w:p w14:paraId="782EF4F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5. Program național de dezvoltare a profesioniștilor în domeniul feroviar (mecanici de locomotivă, vagonari, ingineri de infrastructură, ingineri de gestiune a mișcării, inspectori de siguranță etc):</w:t>
            </w:r>
          </w:p>
          <w:p w14:paraId="3C78FE2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Inițierea unui program național (similar cu Prima Casă) pentru instruirea profesioniștilor feroviari;</w:t>
            </w:r>
          </w:p>
          <w:p w14:paraId="08BBD8C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b. Îmbunătățirea procedurilor de validare a calificărilor și de eliberare a permiselor de muncă pentru specialiștii străini.</w:t>
            </w:r>
          </w:p>
          <w:p w14:paraId="2978B26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6. Program național de dezvoltare a transportului feroviar și multimodal de călători, care să cuprindă:</w:t>
            </w:r>
          </w:p>
          <w:p w14:paraId="1661A87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Rețeaua de rute;</w:t>
            </w:r>
          </w:p>
          <w:p w14:paraId="3B8783F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 Materialul rulant;</w:t>
            </w:r>
          </w:p>
          <w:p w14:paraId="58DD715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 Infrastructura gărilor;</w:t>
            </w:r>
          </w:p>
          <w:p w14:paraId="4251162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 Plan de finanțare.</w:t>
            </w:r>
          </w:p>
          <w:p w14:paraId="3BCCAFD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7. Program național de digitalizare a sectorului feroviar, care va asigura colectarea, stocarea centralizată și securitatea datelor:</w:t>
            </w:r>
          </w:p>
          <w:p w14:paraId="368194E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 Infrastructura feroviară, document de referință de rețea digitalizat;</w:t>
            </w:r>
          </w:p>
          <w:p w14:paraId="24395F2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b. Registrul național al materialului rulant;</w:t>
            </w:r>
          </w:p>
          <w:p w14:paraId="4804CFE2"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 Registrul național al specialiștilor certificați;</w:t>
            </w:r>
          </w:p>
          <w:p w14:paraId="7BA7F41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d. Întreținerea infrastructurii și a rețelelor edilitare;</w:t>
            </w:r>
          </w:p>
          <w:p w14:paraId="754BA17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e. Alocarea și utilizarea infrastructurii magistrale și terminale;</w:t>
            </w:r>
          </w:p>
          <w:p w14:paraId="717D67C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f. Transportul de călători (inventory, distribuție și vânzare, e-ticketing);</w:t>
            </w:r>
          </w:p>
          <w:p w14:paraId="7302531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g. Transportul de mărfuri (disponibilitatea materialului rulant, comenzi, operațiuni, planificare, schimb transfrontalier).o me nzi , op er a ți uni ,   planificare, schimb transfrontalier)</w:t>
            </w:r>
          </w:p>
          <w:p w14:paraId="3B3B976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782C9E89"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D.Dezvoltarea capacității instituționale a principalilor actori</w:t>
            </w:r>
          </w:p>
          <w:p w14:paraId="62CAF69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Restructurarea CFM, accesul la piață a operatorilor feroviari privați și dezvoltarea entităților publice de reglementare și supraveghere trebuie să se desfășoare armonizat și asigurând valoare adăugată transportului de mărfuri și călători:</w:t>
            </w:r>
          </w:p>
          <w:p w14:paraId="1F62CC6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1. Agenția Feroviară urmează să asigure validarea inițială și monitorizarea continuă a:</w:t>
            </w:r>
          </w:p>
          <w:p w14:paraId="2C488B8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infrastructurii  feroviare;</w:t>
            </w:r>
          </w:p>
          <w:p w14:paraId="761E448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materialului rulant;</w:t>
            </w:r>
          </w:p>
          <w:p w14:paraId="023925D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specialiștilor  certificați.</w:t>
            </w:r>
          </w:p>
          <w:p w14:paraId="656CDD8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Supravegherea deficientă duce la compromiterea siguranței mișcării și respectiv a competitivității operaționale. Supravegherea exagerată duce la costuri exagerate. Astfel, dezvoltarea capacităților Agenției Feroviare trebuie să se desfășoare în armonie cu piața feroviară. Trebuie elaborat tot cadrul normativ secundar, trebuie construite absolut toate procesele de lucru, astfel Agenția va avea nevoie de mult suport extern și asistență tehnică în dezvoltarea capacităților, care necesită planificat riguros și solicitat din timp</w:t>
            </w:r>
          </w:p>
          <w:p w14:paraId="1C7A6D2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2. Consiliul Concurenței urmează să supravegheze operativ respectarea regulilor de alocare a infrastructurii și modul de calcul a tarifelor de infrastructură. Aceleași considerente și imperative sunt aplicabile și în privința lui.</w:t>
            </w:r>
          </w:p>
          <w:p w14:paraId="1FB9CF4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3. Biroul de investigare a accidentelor va avea un rol esențial în stabilirea cauzelor evenimentelor critice, o funcție foarte importantă pe fundalul infrastructurii precare și materialului rulant învechit.</w:t>
            </w:r>
          </w:p>
          <w:p w14:paraId="365292E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lastRenderedPageBreak/>
              <w:t xml:space="preserve">4. Operatorul național de infrastructură feroviară - fie în forma CFM, fie în formă de structură autonomă în cadrul CFM, fie ca persoană juridică a parte – trebuie să asigure de o manieră eficientă , echitabilă și transparentă: </w:t>
            </w:r>
          </w:p>
          <w:p w14:paraId="18DB01F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Accesul la infrastructură a operatorilor privați și gestiunea operativă; </w:t>
            </w:r>
          </w:p>
          <w:p w14:paraId="24E703E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Contabilizarea costurilor și calculul tarifelor .</w:t>
            </w:r>
          </w:p>
          <w:p w14:paraId="4D8C631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1DC35F5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Reformele structurale trebuie să se concentreze pe conținut și valoare adăugată și să abordeze foarte minuțios riscurile de birocratizare, de compromitere a proceselor operaționale și de escalare neproductivă a costurilor. Este foarte important de avea un program robust de dezvoltare instituțională pentru fiecare din cele patru entități, cu multă asistență tehnică europeană pentru creșterea capacității. </w:t>
            </w:r>
          </w:p>
          <w:p w14:paraId="6B2CBC6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w:t>
            </w:r>
          </w:p>
          <w:p w14:paraId="2E45BA87" w14:textId="77777777" w:rsidR="00335E6F" w:rsidRPr="00502787" w:rsidRDefault="00335E6F" w:rsidP="00502787">
            <w:pPr>
              <w:jc w:val="both"/>
              <w:rPr>
                <w:rFonts w:ascii="Times New Roman" w:hAnsi="Times New Roman" w:cs="Times New Roman"/>
                <w:sz w:val="20"/>
                <w:szCs w:val="20"/>
                <w:u w:val="single"/>
                <w:lang w:val="ro-MD"/>
              </w:rPr>
            </w:pPr>
            <w:r w:rsidRPr="00502787">
              <w:rPr>
                <w:rFonts w:ascii="Times New Roman" w:eastAsiaTheme="minorEastAsia" w:hAnsi="Times New Roman" w:cs="Times New Roman"/>
                <w:sz w:val="20"/>
                <w:szCs w:val="20"/>
                <w:u w:val="single"/>
                <w:lang w:val="ro-MD"/>
              </w:rPr>
              <w:t>E.Abordarea strategică a integrării europene</w:t>
            </w:r>
          </w:p>
          <w:p w14:paraId="44119C8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Integrarea sectorului feroviar în cadrul comunitar va fi desfășurată cel puțin pe două dimensiuni: participarea în coridoarele logistice TEN-T și armonizarea cadrului normativ. Este esențial ca proiectele de infrastructură modernizată și standardele noi de siguranță și calitate să nu vină cu majorări exagerate ale costurilor de operare, pentru a nu compromite cererea și așa subțire de servicii feroviare.</w:t>
            </w:r>
          </w:p>
          <w:p w14:paraId="72AF4F9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Integrarea în coridoarele TEN-T trebuie să fie abordată holistic – prin construcția de infrastructură, procurarea de material rulant, lansarea de operațiuni și alocarea de resurse bugetare pentru contractele de servicii publice. Se impune consolidarea informațiilor și a eforturilor într-un plan de proiecte (project pipeline) pentru integrarea TEN-T.</w:t>
            </w:r>
          </w:p>
          <w:p w14:paraId="4A8E596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Adoptarea acquis-ului comunitar trebuie să se desfășoare prin avansarea armonizată a trei factori esențiali – capacitatea de conformare a operatorilor, capacitatea instituțională a entităților de reglementare și sustenabilitatea economică a transportului feroviar. În acest context, pentru orice inovații costisitoare, pot fi utilizate mecanisme de derogare, adoptarea amânată și subvențiile de compensare a costurilor pentru operatori. Pentru a avansa eficient și sustenabil în armonizarea cadrului legislativ, este necesar un plan comprehensiv de promovare a actelor normative, cu o analiză punctuală a fiecărei prevederi care implică resurse și costuri.</w:t>
            </w:r>
          </w:p>
          <w:p w14:paraId="5208D21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în același timp, pentru a asigura succesul armonizării legislative, este necesară și o anvelopă de subvenții operaționale pentru întreprinderile feroviare la implementarea standardele noi. O atare anvelopă ar reieși direct din planul de armonizare.</w:t>
            </w:r>
          </w:p>
        </w:tc>
        <w:tc>
          <w:tcPr>
            <w:tcW w:w="4819" w:type="dxa"/>
            <w:vMerge w:val="restart"/>
          </w:tcPr>
          <w:p w14:paraId="3771422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Ministerul Infrastructurii și Dezvoltării Regionale</w:t>
            </w:r>
          </w:p>
          <w:p w14:paraId="0F03C509" w14:textId="77777777" w:rsidR="00335E6F" w:rsidRPr="00502787" w:rsidRDefault="00335E6F" w:rsidP="00502787">
            <w:pPr>
              <w:jc w:val="both"/>
              <w:rPr>
                <w:rFonts w:ascii="Times New Roman" w:hAnsi="Times New Roman" w:cs="Times New Roman"/>
                <w:sz w:val="20"/>
                <w:szCs w:val="20"/>
                <w:lang w:val="ro-MD"/>
              </w:rPr>
            </w:pPr>
          </w:p>
          <w:p w14:paraId="1EAAAF3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Menționăm că propunerile date nu pot fi acceptate reieșind din faptul că nu se încadrează în conceptul și obiectivele Agendei de Reforme. Totuși aceste propuneri urmează a fi analizate și după caz, incluse în Programul pentru implementarea Strategiei de mobilitate 2030.  </w:t>
            </w:r>
          </w:p>
          <w:p w14:paraId="15103BEE" w14:textId="77777777" w:rsidR="00335E6F" w:rsidRPr="00502787" w:rsidRDefault="00335E6F" w:rsidP="00502787">
            <w:pPr>
              <w:jc w:val="both"/>
              <w:rPr>
                <w:rFonts w:ascii="Times New Roman" w:hAnsi="Times New Roman" w:cs="Times New Roman"/>
                <w:sz w:val="20"/>
                <w:szCs w:val="20"/>
                <w:lang w:val="ro-MD"/>
              </w:rPr>
            </w:pPr>
          </w:p>
        </w:tc>
      </w:tr>
      <w:tr w:rsidR="00335E6F" w:rsidRPr="00502787" w14:paraId="19BBA217" w14:textId="77777777">
        <w:trPr>
          <w:trHeight w:val="562"/>
        </w:trPr>
        <w:tc>
          <w:tcPr>
            <w:tcW w:w="556" w:type="dxa"/>
          </w:tcPr>
          <w:p w14:paraId="33A1879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14.</w:t>
            </w:r>
          </w:p>
        </w:tc>
        <w:tc>
          <w:tcPr>
            <w:tcW w:w="2278" w:type="dxa"/>
          </w:tcPr>
          <w:p w14:paraId="56DAF59B" w14:textId="2BCE8692" w:rsidR="00335E6F" w:rsidRPr="00502787" w:rsidRDefault="00335E6F" w:rsidP="00502787">
            <w:pPr>
              <w:jc w:val="both"/>
              <w:rPr>
                <w:rFonts w:ascii="Times New Roman" w:hAnsi="Times New Roman" w:cs="Times New Roman"/>
                <w:sz w:val="20"/>
                <w:szCs w:val="20"/>
              </w:rPr>
            </w:pPr>
            <w:r w:rsidRPr="00502787">
              <w:rPr>
                <w:rFonts w:ascii="Times New Roman" w:hAnsi="Times New Roman" w:cs="Times New Roman"/>
                <w:sz w:val="20"/>
                <w:szCs w:val="20"/>
                <w:lang w:val="ro-MD"/>
              </w:rPr>
              <w:t>MOLDCELL (</w:t>
            </w:r>
            <w:r w:rsidRPr="00502787">
              <w:rPr>
                <w:rFonts w:ascii="Times New Roman" w:hAnsi="Times New Roman" w:cs="Times New Roman"/>
                <w:sz w:val="20"/>
                <w:szCs w:val="20"/>
              </w:rPr>
              <w:t>Nr. de ieșire 18165-04/25</w:t>
            </w:r>
            <w:r w:rsidRPr="00502787">
              <w:rPr>
                <w:rFonts w:ascii="Times New Roman" w:hAnsi="Times New Roman" w:cs="Times New Roman"/>
                <w:sz w:val="20"/>
                <w:szCs w:val="20"/>
                <w:lang w:val="ro-MD"/>
              </w:rPr>
              <w:t>)</w:t>
            </w:r>
          </w:p>
        </w:tc>
        <w:tc>
          <w:tcPr>
            <w:tcW w:w="6661" w:type="dxa"/>
          </w:tcPr>
          <w:p w14:paraId="290D280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Având în vedere importanța strategică a tehnologiilor și infrastructurii de comunicații 5G, există o nevoie clară de a pune în aplicare și de a implementa un set de măsuri și instrumente pentru a asigura un nivel ridicat de securitate a rețelelor 5G și a serviciilor furnizate. Conform proiectului planului de creștere împărtășit comunității de afaceri, implementarea setului de instrumente 5G este </w:t>
            </w:r>
            <w:r w:rsidRPr="00502787">
              <w:rPr>
                <w:rFonts w:ascii="Times New Roman" w:eastAsiaTheme="minorEastAsia" w:hAnsi="Times New Roman" w:cs="Times New Roman"/>
                <w:sz w:val="20"/>
                <w:szCs w:val="20"/>
                <w:lang w:val="ro-MD"/>
              </w:rPr>
              <w:lastRenderedPageBreak/>
              <w:t xml:space="preserve">inclusă la capitolul Conectivitate și infrastructură digitală, cu un grad scăzut de maturitate, ceea ce înseamnă că urmează să fie semnat până la sfârșitul anului 2027, fără un plan concret de implementare și adoptare. Noile licențe de spectru pentru frecvențele 5G au fost alocate recent, pe 13 martie 2025. Operatorii vor trebui să înceapă acum să monetizeze investițiile în licențe și să înceapă să construiască rețele 5G deja din 2025. Fără un ghid clar privind instrumentele 5G, furnizorii care nu sunt incluși în lista de încredere a UE vor începe sau vor continua să fie implementați în rețelele 5G. Implementarea în timp util a setului de instrumente 5G al UE în Moldova va spori previzibilitatea și va reduce incertitudinile privind investițiile pe piață pentru operatorii de telefonie mobilă. Deși agenda de reformă și creștere prevede o implementare până în 2027, este de preferat ca guvernul Republicii Moldova să își declare intenția cât mai curând posibil în 2025. Acesta este, de asemenea, un aspect esențial din perspectiva securității și în conformitate cu Comunicarea Comisiei Europene (CE) din iunie 2023, pentru a evita o întârziere suplimentară care poate extinde expunerea la anumite riscuri 5G prin investiții suplimentare în echipamente și, prin urmare, poate contribui negativ la creșterea costurilor de atenuare. </w:t>
            </w:r>
          </w:p>
          <w:p w14:paraId="78C583E2" w14:textId="77777777" w:rsidR="00335E6F" w:rsidRPr="00502787" w:rsidRDefault="00335E6F" w:rsidP="00502787">
            <w:pPr>
              <w:jc w:val="both"/>
              <w:rPr>
                <w:rFonts w:ascii="Times New Roman" w:hAnsi="Times New Roman" w:cs="Times New Roman"/>
                <w:sz w:val="20"/>
                <w:szCs w:val="20"/>
                <w:lang w:val="ro-MD"/>
              </w:rPr>
            </w:pPr>
          </w:p>
          <w:p w14:paraId="4C61722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În acest context, dorim să atragem atenția și asupra faptului că paralel implementării măsurilor de securitate 5G, furnizorii de comunicații vor fi necesita resurse financiare considerabile pentru prelungirea licențelor pentru frecvențe. Astfel, în anul 2027 expiră licențele pentru banda 2600 MHz, iar în 2029 pentru 800 Mhz, 900 Mhz, 1800MHz, 2100 MHz, ceea ce va solicita doar din partea Moldcell a unor investiții în valoare de aproximativ 30 milioane euro. Una din posibilele soluții de suport a sectorului pentru a face față cerințelor de conformare și rigorilor UE, ar fi oferirea posibilității de achitare a taxelor în rate anuale proportional (1/25) perioadei licenței. Acest mecanism de stimulare indirectă a investițiilor în sectorul comunicațiilor este utilizat pe larg în UE. Drept confirmare a acestui fapt pot fi și ultimele studii GSMA </w:t>
            </w:r>
            <w:hyperlink r:id="rId17" w:tooltip="https://www.gsma.com/connectivity-for-good/spectrum/wpcontent/uploads/2025/02/GSMA-Spectrum-Policy-Trends-2025-1.pdf" w:history="1">
              <w:r w:rsidRPr="00502787">
                <w:rPr>
                  <w:rFonts w:ascii="Times New Roman" w:eastAsiaTheme="minorEastAsia" w:hAnsi="Times New Roman" w:cs="Times New Roman"/>
                  <w:sz w:val="20"/>
                  <w:szCs w:val="20"/>
                  <w:lang w:val="ro-MD"/>
                </w:rPr>
                <w:t>https://www.gsma.com/connectivity-for-good/spectrum/wpcontent/uploads/2025/02/GSMA-Spectrum-Policy-Trends-2025-1.pdf</w:t>
              </w:r>
            </w:hyperlink>
            <w:r w:rsidRPr="00502787">
              <w:rPr>
                <w:rFonts w:ascii="Times New Roman" w:eastAsiaTheme="minorEastAsia" w:hAnsi="Times New Roman" w:cs="Times New Roman"/>
                <w:sz w:val="20"/>
                <w:szCs w:val="20"/>
                <w:lang w:val="ro-MD"/>
              </w:rPr>
              <w:t xml:space="preserve">  conform căruia s-a stabilit o interdependență majoră între costurile administrative pentru frecvențe și accesibilitatea serviciilor de comunicații pentru populație. Astfel, s-a observat că investițiile în dezvoltarea infrastructurii și implementarea tehnologiilor noi au fost mai mari în statele care au adoptat politici holistice de dezvoltare a sectorului comunicațiilor. Astfel, considerăm că implementarea mecanismului de achitare în tranșe a taxelor de licență ar putea fi prevăzut în noul Program de management al spectrului de frecvențe, ce ar trebui să fie elaborat în anul curent, ar oferi o previzibilitate mai mare pentru sectorul comunicațiilor și o alocare corectă a resurselor.</w:t>
            </w:r>
          </w:p>
        </w:tc>
        <w:tc>
          <w:tcPr>
            <w:tcW w:w="4819" w:type="dxa"/>
          </w:tcPr>
          <w:p w14:paraId="5165488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 xml:space="preserve">Ministerul Dezvoltării Economice și Digitalizării </w:t>
            </w:r>
          </w:p>
          <w:p w14:paraId="359BBD94"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Alinierea la reglementarea UE privind Setul de instrumente pentru securitate cibernetică 5G, un set de măsuri legislative și tehnice menite să asigure rețele 5G sigure și rezistente în UE, este prevăzută în proiectul PNA </w:t>
            </w:r>
            <w:r w:rsidRPr="00502787">
              <w:rPr>
                <w:rFonts w:ascii="Times New Roman" w:eastAsiaTheme="minorEastAsia" w:hAnsi="Times New Roman" w:cs="Times New Roman"/>
                <w:sz w:val="20"/>
                <w:szCs w:val="20"/>
                <w:lang w:val="ro-MD"/>
              </w:rPr>
              <w:lastRenderedPageBreak/>
              <w:t xml:space="preserve">2025-2029. Această aliniere este esențială pentru Moldova pentru a proteja securitatea națională și a se integra mai eficient în piața unică digitală a UE. </w:t>
            </w:r>
          </w:p>
          <w:p w14:paraId="32C4B78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Pe 17.03.25 a fost semnat Acordul de Grant în sumă de 470 mii Euro dintre MDED și Swedfund International AB privind serviciile de consultanță pentru implementarea setului de instrumente al UE pentru securitatea 5G.</w:t>
            </w:r>
          </w:p>
          <w:p w14:paraId="3FC0701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Astfel, urmează a fi contractată compania de consultanță de talie internațională pentru următoarele:</w:t>
            </w:r>
          </w:p>
          <w:p w14:paraId="5498B38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Prezentarea cazurilor de succes și provocărilor din implementările naționale în țările UE și din afara UE. </w:t>
            </w:r>
          </w:p>
          <w:p w14:paraId="012B9949"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politicii naționale actuale și aspectele legale legate de securitate și încredere în implementarea 5G. </w:t>
            </w:r>
          </w:p>
          <w:p w14:paraId="00A4403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O evaluare națională cuprinzătoare a riscurilor furnizorilor, în conformitate cu recomandările EU 5G Toolbox. </w:t>
            </w:r>
          </w:p>
          <w:p w14:paraId="383F53E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măsurilor de securitate cibernetică existente. </w:t>
            </w:r>
          </w:p>
          <w:p w14:paraId="7082511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Evaluarea costurilor estimative pentru operatori de implementare a Setului de instrumente 5G. </w:t>
            </w:r>
          </w:p>
          <w:p w14:paraId="526DC93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Propunerea unui mecanism de compensare pentru operatori care să stimuleze conformitatea cu Setul de instrumente 5G al UE și cu măsurile de atenuare recomandate. </w:t>
            </w:r>
          </w:p>
          <w:p w14:paraId="58CDA93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Propunerea unui plan de implementare pentru Setul de instrumente 5G UE, pentru diferite scenarii (perioade de tranziție etc.). </w:t>
            </w:r>
          </w:p>
          <w:p w14:paraId="64E2439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xml:space="preserve">• Elaborarea unui proiect de lege pentru alinierea cu instrumentele UE 5G. </w:t>
            </w:r>
          </w:p>
          <w:p w14:paraId="57485ED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 Cartografierea sprijinului financiar existent și potențial al UE, disponibil pentru lansarea 5G</w:t>
            </w:r>
          </w:p>
          <w:p w14:paraId="0E6BF7B0"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eastAsiaTheme="minorEastAsia" w:hAnsi="Times New Roman" w:cs="Times New Roman"/>
                <w:sz w:val="20"/>
                <w:szCs w:val="20"/>
                <w:lang w:val="ro-MD"/>
              </w:rPr>
              <w:t>Astfel, implementarea cerințelor Setului de instrumente 5G UE urmează să fie prevăzută în actul național de aliniere în 2027, cu o perioadă de conformare/de tranziție care urmează a fi stabilită urmare studiului menționat cu suportul SWEDFUND, dar și măsurile compensatorii pentru operatori pentru conformare și substituire echipamente de la furnizori cu risc înalt de securitate.</w:t>
            </w:r>
          </w:p>
          <w:p w14:paraId="5F09E5A4" w14:textId="77777777" w:rsidR="00335E6F" w:rsidRPr="00502787" w:rsidRDefault="00335E6F" w:rsidP="00502787">
            <w:pPr>
              <w:jc w:val="both"/>
              <w:rPr>
                <w:rFonts w:ascii="Times New Roman" w:hAnsi="Times New Roman" w:cs="Times New Roman"/>
                <w:sz w:val="20"/>
                <w:szCs w:val="20"/>
                <w:lang w:val="ro-MD"/>
              </w:rPr>
            </w:pPr>
          </w:p>
        </w:tc>
      </w:tr>
      <w:tr w:rsidR="00335E6F" w:rsidRPr="00502787" w14:paraId="0513E582" w14:textId="77777777">
        <w:trPr>
          <w:trHeight w:val="2916"/>
        </w:trPr>
        <w:tc>
          <w:tcPr>
            <w:tcW w:w="556" w:type="dxa"/>
          </w:tcPr>
          <w:p w14:paraId="661D903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lastRenderedPageBreak/>
              <w:t>16.</w:t>
            </w:r>
          </w:p>
        </w:tc>
        <w:tc>
          <w:tcPr>
            <w:tcW w:w="2278" w:type="dxa"/>
          </w:tcPr>
          <w:p w14:paraId="0ABA970E" w14:textId="09AEAFD5"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Centrul European al Consumatorului din Republica Moldova </w:t>
            </w:r>
            <w:r w:rsidRPr="000913F8">
              <w:rPr>
                <w:rFonts w:ascii="Times New Roman" w:hAnsi="Times New Roman" w:cs="Times New Roman"/>
                <w:i/>
                <w:sz w:val="20"/>
                <w:szCs w:val="20"/>
                <w:lang w:val="ro-MD"/>
              </w:rPr>
              <w:t>(</w:t>
            </w:r>
            <w:r w:rsidRPr="000913F8">
              <w:rPr>
                <w:rFonts w:ascii="Times New Roman" w:hAnsi="Times New Roman" w:cs="Times New Roman"/>
                <w:i/>
                <w:sz w:val="20"/>
                <w:szCs w:val="20"/>
              </w:rPr>
              <w:t>Nr. 20 din 31.03.2025</w:t>
            </w:r>
            <w:r w:rsidRPr="000913F8">
              <w:rPr>
                <w:rFonts w:ascii="Times New Roman" w:hAnsi="Times New Roman" w:cs="Times New Roman"/>
                <w:i/>
                <w:sz w:val="20"/>
                <w:szCs w:val="20"/>
                <w:lang w:val="ro-MD"/>
              </w:rPr>
              <w:t>)</w:t>
            </w:r>
          </w:p>
          <w:p w14:paraId="1731E0F4" w14:textId="4678289B" w:rsidR="00335E6F" w:rsidRPr="00502787" w:rsidRDefault="00335E6F" w:rsidP="00502787">
            <w:pPr>
              <w:jc w:val="both"/>
              <w:rPr>
                <w:rFonts w:ascii="Times New Roman" w:hAnsi="Times New Roman" w:cs="Times New Roman"/>
                <w:sz w:val="20"/>
                <w:szCs w:val="20"/>
                <w:lang w:val="ro-MD"/>
              </w:rPr>
            </w:pPr>
          </w:p>
        </w:tc>
        <w:tc>
          <w:tcPr>
            <w:tcW w:w="6661" w:type="dxa"/>
          </w:tcPr>
          <w:p w14:paraId="6F8F9DB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Intervenim cu următoarele propuneri de completare a proiectului Agendei de Reformă (la subdomenul 1.6 și corespunzător 4.4 , aferentă Planului de Creștere al Republicii Moldova pentru anii 2025-2027, prin prisma obiectivului protecției consumatorilor: </w:t>
            </w:r>
          </w:p>
          <w:p w14:paraId="73A38F8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1. Elaborarea Strategiei de dezvoltare instituțională a Inspectoratului de Stat pentru Supravegherea Produselor Nealimentare și Protecția Consumatorilor; </w:t>
            </w:r>
          </w:p>
          <w:p w14:paraId="64C765CC"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2. Elaborarea unui cadru comun de raportare a autorităților cu funcții de protecție a consumatorilor, care să includă indicatori de performanță clari și uniformi pentru toate autoritățile relevante; </w:t>
            </w:r>
          </w:p>
          <w:p w14:paraId="50991EE5"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3. Monitorizarea comerțului online prin crearea unor unități specializate în cadrul autorităților competente și capacitarea acestora, pentru a supraveghea activitățile profesioniștilor care desfășoară activități exclusiv online, inclusiv a celor înregistrați în afara UE, în vederea asigurării conformității cu legislația națională; 4. Promovarea emiterii de către autoritățile cu funcții de protecție a consumatorilor a Deciziilor de remediere (reparare, înlocuire, restituire a contravalorii) și a Deciziilor de încetare a practicilor comerciale incorecte, ca instrumente eficiente de soluționare rapidă a reclamațiilor; </w:t>
            </w:r>
          </w:p>
          <w:p w14:paraId="1D43249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5. Promovarea mecanismelor de soluționare alternativă a litigiilor (entitățile SAL), inclusiv prin dezvoltarea platformelor digitale de mediere, în vederea asigurării unui acces facil, rapid și gratuit al consumatorilor la remedii eficiente, în special în cazurile cu valoare redusă; </w:t>
            </w:r>
          </w:p>
          <w:p w14:paraId="33DF6FD3"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6. Implementarea metodelor noi de testare a compoziției produselor cosmetice în conformitate cu anexele la Regulamentul sanitar privind produsele cosmetice, aprobat prin Hotărârea Guvernului nr. 1207/2016; </w:t>
            </w:r>
          </w:p>
          <w:p w14:paraId="1DD1C99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7. Elaborarea Ghidului practic de supraveghere a produselor cosmetice; </w:t>
            </w:r>
          </w:p>
          <w:p w14:paraId="143095A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8. Dezvoltarea bazei de date de comunicare a reacțiilor adverse neașteptate suspectate care nu sunt grave, inclusiv a unei aplicații mobile de comunicare a reacțiilor adverse neașteptate suspectate care nu sunt grave; </w:t>
            </w:r>
          </w:p>
          <w:p w14:paraId="26EB018A"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9. Revizuirea mecanismelor de efectuare a controalelor de stat în domeniul protecției consumatorilor, ajustarea și/sau uniformizarea listelor de verificare a tuturor autorităților cu funcții de protecție a consumatorilor; </w:t>
            </w:r>
          </w:p>
          <w:p w14:paraId="20A6CFF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10. Dezvoltarea unei aplicații mobile prin care consumatorii pot raporta probleme, dar și primi notificări despre produsele periculoase retrase de pe piață.</w:t>
            </w:r>
          </w:p>
        </w:tc>
        <w:tc>
          <w:tcPr>
            <w:tcW w:w="4819" w:type="dxa"/>
          </w:tcPr>
          <w:p w14:paraId="3A861A57"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Ministerul Dezvoltării Economice și Digitalizării </w:t>
            </w:r>
          </w:p>
          <w:p w14:paraId="45AD57FE"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1.  Strategia de dezvoltare instituțională a Inspectoratului de Stat pentru Supravegherea Produselor Nealimentare și Protecția Consumatorilor nu constituie o prioritate în raport cu domeniile care vizează investițiile strategice și alinierea la normele europene  în contextul planului de creștere. </w:t>
            </w:r>
          </w:p>
          <w:p w14:paraId="261583B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2. Deși propunerea de elaborare a unui cadru comun de raportare a autorităților este relevantă în contextul unei mai bune coordonări, aceasta nu se aliniază cu obiectivele prioritare din Planul de creștere, care vizează creșterea economiei.</w:t>
            </w:r>
          </w:p>
          <w:p w14:paraId="2269DDA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3. Monitorizarea comerțului online ar putea fi integrată mai eficient într-un cadru mai larg de supraveghere a pieței.</w:t>
            </w:r>
          </w:p>
          <w:p w14:paraId="52699DB8"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4. Deși soluționarea rapidă a reclamațiilor consumatorilor este importantă, implementarea acestora în cadrul Planului de creștere ar însemna o distragere a resurselor de la prioritățile economice majore. În acest sens, propunerile vor fi evaluate în contextul unui sistem de reglementare mai simplificat și mai eficient, pe domeniul de protecție a consumatorilor.</w:t>
            </w:r>
          </w:p>
          <w:p w14:paraId="38D4895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5. Promovarea soluționării alternative a litigiilor constituie un obiectiv esențial în domeniul protecției consumatorilor. Totuși, implementarea eficientă a acestei măsuri presupune un anumit grad de interes și implicare din partea atât a consumatorilor, cât și a comercianților. În acest context, dezvoltarea platformelor digitale pentru soluționarea litigiilor ar fi relevantă doar în măsura în care acestea ar fi precedate de o implementare inițială în format fizic, care să asigure o funcționare optimă și familiarizarea părților implicate cu procedurile.</w:t>
            </w:r>
          </w:p>
          <w:p w14:paraId="4CA4AA5D"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6/7. Aceaste propuneri, de asemenea, nu reprezintă o prioritate imediată în contextul planului național de dezvoltare, care se concentrează pe sectoare economice strategice.</w:t>
            </w:r>
          </w:p>
          <w:p w14:paraId="642885A1"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8. Această acțiune ar putea fi considerată relevantă în contextul obiectivelor de protecție a sănătății publice, digitalizare și eficientizare a sistemului de monitorizare a produselor. Cu toate acestea, propunerea nu este suficient detaliată și justificată, necesitând o descriere mai clară a modului în care va fi implementată, a resurselor necesare </w:t>
            </w:r>
            <w:r w:rsidRPr="00502787">
              <w:rPr>
                <w:rFonts w:ascii="Times New Roman" w:hAnsi="Times New Roman" w:cs="Times New Roman"/>
                <w:sz w:val="20"/>
                <w:szCs w:val="20"/>
                <w:lang w:val="ro-MD"/>
              </w:rPr>
              <w:lastRenderedPageBreak/>
              <w:t>și a impactului așteptat asupra protecției consumatorilor și a sistemului de sănătate publică.</w:t>
            </w:r>
          </w:p>
          <w:p w14:paraId="019B5526"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9. Acesată propunere excedează competențele MDED, or mecanismul de efectuare a controalelor de stat este atribuția nemijlocită a Cancelariei de Stat. </w:t>
            </w:r>
          </w:p>
          <w:p w14:paraId="3F1E363F"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10. Observăm că deși Planul de Creștere promovează inclusiv digitalizarea administrației publice, aceasta se concentrează pe implementarea unor soluții sistematice și integrative care să sprijine eficiența administrativă pe scară largă, mai degrabă decât dezvoltarea unor aplicații mobile specializate în raportarea consumatorilor. În acest sens, propunerea se concentrează pe un aspect specific al protecției consumatorilor, care nu se aliniază cu prioritățile mai ample de digitalizare vizate de plan.</w:t>
            </w:r>
          </w:p>
        </w:tc>
      </w:tr>
      <w:tr w:rsidR="00335E6F" w:rsidRPr="00502787" w14:paraId="1F45BC7C" w14:textId="77777777">
        <w:trPr>
          <w:trHeight w:val="2916"/>
        </w:trPr>
        <w:tc>
          <w:tcPr>
            <w:tcW w:w="556" w:type="dxa"/>
          </w:tcPr>
          <w:p w14:paraId="293F4A6A" w14:textId="77777777" w:rsidR="00335E6F" w:rsidRPr="00502787" w:rsidRDefault="00335E6F" w:rsidP="00502787">
            <w:pPr>
              <w:jc w:val="both"/>
              <w:rPr>
                <w:rFonts w:ascii="Times New Roman" w:hAnsi="Times New Roman" w:cs="Times New Roman"/>
                <w:sz w:val="20"/>
                <w:szCs w:val="20"/>
                <w:lang w:val="ro-MD"/>
              </w:rPr>
            </w:pPr>
          </w:p>
        </w:tc>
        <w:tc>
          <w:tcPr>
            <w:tcW w:w="2278" w:type="dxa"/>
          </w:tcPr>
          <w:p w14:paraId="7C16871E" w14:textId="2BCB608C"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Consiliul ONG-urilor din Republica Moldova </w:t>
            </w:r>
            <w:r w:rsidRPr="000913F8">
              <w:rPr>
                <w:rFonts w:ascii="Times New Roman" w:hAnsi="Times New Roman" w:cs="Times New Roman"/>
                <w:i/>
                <w:sz w:val="20"/>
                <w:szCs w:val="20"/>
                <w:lang w:val="ro-MD"/>
              </w:rPr>
              <w:t>(nr. 2622 din 28.03.2025)</w:t>
            </w:r>
          </w:p>
        </w:tc>
        <w:tc>
          <w:tcPr>
            <w:tcW w:w="6661" w:type="dxa"/>
          </w:tcPr>
          <w:p w14:paraId="3FF2098B" w14:textId="77777777"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t xml:space="preserve">Notă de poziție privind implicarea societății civile în procesul de implementare a Planului de Creștere a Republicii Moldova și aderare a Republicii Moldova la UE. </w:t>
            </w:r>
          </w:p>
          <w:bookmarkStart w:id="1" w:name="_MON_1807443276"/>
          <w:bookmarkEnd w:id="1"/>
          <w:p w14:paraId="074A7619" w14:textId="3B47A008" w:rsidR="00335E6F" w:rsidRPr="00502787" w:rsidRDefault="00335E6F" w:rsidP="00502787">
            <w:pPr>
              <w:jc w:val="both"/>
              <w:rPr>
                <w:rFonts w:ascii="Times New Roman" w:hAnsi="Times New Roman" w:cs="Times New Roman"/>
                <w:sz w:val="20"/>
                <w:szCs w:val="20"/>
                <w:lang w:val="ro-MD"/>
              </w:rPr>
            </w:pPr>
            <w:r w:rsidRPr="00502787">
              <w:rPr>
                <w:rFonts w:ascii="Times New Roman" w:hAnsi="Times New Roman" w:cs="Times New Roman"/>
                <w:sz w:val="20"/>
                <w:szCs w:val="20"/>
                <w:lang w:val="ro-MD"/>
              </w:rPr>
              <w:object w:dxaOrig="1541" w:dyaOrig="998" w14:anchorId="45D33729">
                <v:shape id="_x0000_i1026" type="#_x0000_t75" style="width:77.25pt;height:50.25pt" o:ole="">
                  <v:imagedata r:id="rId18" o:title=""/>
                </v:shape>
                <o:OLEObject Type="Embed" ProgID="Word.Document.12" ShapeID="_x0000_i1026" DrawAspect="Icon" ObjectID="_1807517610" r:id="rId19">
                  <o:FieldCodes>\s</o:FieldCodes>
                </o:OLEObject>
              </w:object>
            </w:r>
          </w:p>
        </w:tc>
        <w:tc>
          <w:tcPr>
            <w:tcW w:w="4819" w:type="dxa"/>
          </w:tcPr>
          <w:p w14:paraId="31213933" w14:textId="77777777" w:rsidR="00335E6F" w:rsidRPr="00502787" w:rsidRDefault="00335E6F" w:rsidP="00502787">
            <w:pPr>
              <w:jc w:val="both"/>
              <w:rPr>
                <w:rFonts w:ascii="Times New Roman" w:hAnsi="Times New Roman" w:cs="Times New Roman"/>
                <w:color w:val="000000"/>
                <w:sz w:val="20"/>
                <w:szCs w:val="20"/>
                <w:lang w:val="ro-MD"/>
              </w:rPr>
            </w:pPr>
            <w:r w:rsidRPr="00502787">
              <w:rPr>
                <w:rFonts w:ascii="Times New Roman" w:hAnsi="Times New Roman" w:cs="Times New Roman"/>
                <w:color w:val="000000"/>
                <w:sz w:val="20"/>
                <w:szCs w:val="20"/>
                <w:lang w:val="ro-MD"/>
              </w:rPr>
              <w:t>Toate recomadările prezentate vor fi luate în considerare la elaborarea politicilor sectoriale.</w:t>
            </w:r>
          </w:p>
          <w:p w14:paraId="78549F37" w14:textId="77777777" w:rsidR="00335E6F" w:rsidRPr="00502787" w:rsidRDefault="00335E6F" w:rsidP="00502787">
            <w:pPr>
              <w:jc w:val="both"/>
              <w:rPr>
                <w:rFonts w:ascii="Times New Roman" w:hAnsi="Times New Roman" w:cs="Times New Roman"/>
                <w:color w:val="000000"/>
                <w:sz w:val="20"/>
                <w:szCs w:val="20"/>
              </w:rPr>
            </w:pPr>
            <w:r w:rsidRPr="00502787">
              <w:rPr>
                <w:rFonts w:ascii="Times New Roman" w:hAnsi="Times New Roman" w:cs="Times New Roman"/>
                <w:color w:val="000000"/>
                <w:sz w:val="20"/>
                <w:szCs w:val="20"/>
                <w:lang w:val="ro-MD"/>
              </w:rPr>
              <w:t xml:space="preserve">Totodată, </w:t>
            </w:r>
            <w:r w:rsidRPr="00502787">
              <w:rPr>
                <w:rFonts w:ascii="Times New Roman" w:hAnsi="Times New Roman" w:cs="Times New Roman"/>
                <w:color w:val="000000"/>
                <w:sz w:val="20"/>
                <w:szCs w:val="20"/>
              </w:rPr>
              <w:t xml:space="preserve">Republica Moldova va aplica cadrul său instituțional bine definit pentru a coordona implementarea, monitorizarea și raportarea actualei Agende de reforme. </w:t>
            </w:r>
          </w:p>
          <w:p w14:paraId="4EA15BA6" w14:textId="03DC9EC8" w:rsidR="00335E6F" w:rsidRPr="00502787" w:rsidRDefault="00335E6F" w:rsidP="00502787">
            <w:pPr>
              <w:jc w:val="both"/>
              <w:rPr>
                <w:rFonts w:ascii="Times New Roman" w:hAnsi="Times New Roman" w:cs="Times New Roman"/>
                <w:sz w:val="20"/>
                <w:szCs w:val="20"/>
                <w:lang w:val="en-GB"/>
              </w:rPr>
            </w:pPr>
            <w:r w:rsidRPr="00502787">
              <w:rPr>
                <w:rFonts w:ascii="Times New Roman" w:hAnsi="Times New Roman" w:cs="Times New Roman"/>
                <w:sz w:val="20"/>
                <w:szCs w:val="20"/>
              </w:rPr>
              <w:t>Pentru a asigura o abordare sistematică și consecventă, precum și responsabilitatea în fiecare etapă, Guvernul va supraveghea procesul la cel mai înalt nivel politic prin intermediul Cancelariei de Stat. Reformele strategice și investițiile prezentate în Agenda de Reformă vor fi prioritizate pentru revizuire și aprobare, inclusiv reformele juridice aliniate la acquis, care vor fi supuse Parlamentului spre adoptare finală. Organizațiile neguvernamentale (ONG-uri) și organizațiile societății civile vor participa activ la monitorizare, asigurând transparența, responsabilitatea și implicarea părților interesate.</w:t>
            </w:r>
          </w:p>
        </w:tc>
      </w:tr>
    </w:tbl>
    <w:p w14:paraId="4FE044F8" w14:textId="77777777" w:rsidR="00F3660E" w:rsidRPr="00502787" w:rsidRDefault="00F3660E" w:rsidP="00502787">
      <w:pPr>
        <w:jc w:val="both"/>
        <w:rPr>
          <w:rFonts w:ascii="Times New Roman" w:hAnsi="Times New Roman" w:cs="Times New Roman"/>
          <w:sz w:val="20"/>
          <w:szCs w:val="20"/>
          <w:lang w:val="ro-MD"/>
        </w:rPr>
      </w:pPr>
    </w:p>
    <w:sectPr w:rsidR="00F3660E" w:rsidRPr="00502787">
      <w:footerReference w:type="default" r:id="rId20"/>
      <w:pgSz w:w="15840" w:h="12240" w:orient="landscape"/>
      <w:pgMar w:top="567" w:right="956" w:bottom="993" w:left="851" w:header="720" w:footer="21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7622ACD" w16cex:dateUtc="2025-04-03T07:15:00Z"/>
  <w16cex:commentExtensible w16cex:durableId="35BE1265" w16cex:dateUtc="2025-04-03T07:16:00Z"/>
  <w16cex:commentExtensible w16cex:durableId="721000BE" w16cex:dateUtc="2025-04-03T08:02:00Z"/>
  <w16cex:commentExtensible w16cex:durableId="2241D301" w16cex:dateUtc="2025-04-03T07:58:00Z"/>
  <w16cex:commentExtensible w16cex:durableId="00E1D3A1" w16cex:dateUtc="2025-04-03T08:05:00Z"/>
  <w16cex:commentExtensible w16cex:durableId="1A643446" w16cex:dateUtc="2025-04-04T14:06:00Z"/>
  <w16cex:commentExtensible w16cex:durableId="32558511" w16cex:dateUtc="2025-04-04T14:08:00Z"/>
  <w16cex:commentExtensible w16cex:durableId="6DFA418B" w16cex:dateUtc="2025-04-04T14:08:00Z"/>
  <w16cex:commentExtensible w16cex:durableId="32529D1A" w16cex:dateUtc="2025-04-07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0A" w16cid:durableId="47622ACD"/>
  <w16cid:commentId w16cid:paraId="00000009" w16cid:durableId="35BE1265"/>
  <w16cid:commentId w16cid:paraId="00000008" w16cid:durableId="721000BE"/>
  <w16cid:commentId w16cid:paraId="00000007" w16cid:durableId="2241D301"/>
  <w16cid:commentId w16cid:paraId="00000005" w16cid:durableId="00E1D3A1"/>
  <w16cid:commentId w16cid:paraId="00000004" w16cid:durableId="1A643446"/>
  <w16cid:commentId w16cid:paraId="00000003" w16cid:durableId="32558511"/>
  <w16cid:commentId w16cid:paraId="00000002" w16cid:durableId="6DFA418B"/>
  <w16cid:commentId w16cid:paraId="00000001" w16cid:durableId="32529D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210DB" w14:textId="77777777" w:rsidR="00AC49DB" w:rsidRDefault="00AC49DB">
      <w:pPr>
        <w:spacing w:after="0" w:line="240" w:lineRule="auto"/>
      </w:pPr>
      <w:r>
        <w:separator/>
      </w:r>
    </w:p>
  </w:endnote>
  <w:endnote w:type="continuationSeparator" w:id="0">
    <w:p w14:paraId="1DD1E29E" w14:textId="77777777" w:rsidR="00AC49DB" w:rsidRDefault="00AC4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121243"/>
      <w:docPartObj>
        <w:docPartGallery w:val="Page Numbers (Bottom of Page)"/>
        <w:docPartUnique/>
      </w:docPartObj>
    </w:sdtPr>
    <w:sdtEndPr/>
    <w:sdtContent>
      <w:p w14:paraId="3A2C2E98" w14:textId="6EC8A09B" w:rsidR="000913F8" w:rsidRDefault="000913F8">
        <w:pPr>
          <w:pStyle w:val="Subsol"/>
          <w:jc w:val="center"/>
        </w:pPr>
        <w:r>
          <w:fldChar w:fldCharType="begin"/>
        </w:r>
        <w:r>
          <w:instrText xml:space="preserve"> PAGE   \* MERGEFORMAT </w:instrText>
        </w:r>
        <w:r>
          <w:fldChar w:fldCharType="separate"/>
        </w:r>
        <w:r w:rsidR="002B2F7D">
          <w:rPr>
            <w:noProof/>
          </w:rPr>
          <w:t>22</w:t>
        </w:r>
        <w:r>
          <w:fldChar w:fldCharType="end"/>
        </w:r>
      </w:p>
    </w:sdtContent>
  </w:sdt>
  <w:p w14:paraId="4C045B54" w14:textId="77777777" w:rsidR="000913F8" w:rsidRDefault="000913F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25FB7" w14:textId="77777777" w:rsidR="00AC49DB" w:rsidRDefault="00AC49DB">
      <w:pPr>
        <w:spacing w:after="0" w:line="240" w:lineRule="auto"/>
      </w:pPr>
      <w:r>
        <w:separator/>
      </w:r>
    </w:p>
  </w:footnote>
  <w:footnote w:type="continuationSeparator" w:id="0">
    <w:p w14:paraId="3006D0A1" w14:textId="77777777" w:rsidR="00AC49DB" w:rsidRDefault="00AC49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60E"/>
    <w:rsid w:val="000913F8"/>
    <w:rsid w:val="002152AE"/>
    <w:rsid w:val="0024020C"/>
    <w:rsid w:val="002441BB"/>
    <w:rsid w:val="002B2F7D"/>
    <w:rsid w:val="003231FD"/>
    <w:rsid w:val="00335E6F"/>
    <w:rsid w:val="00361C4F"/>
    <w:rsid w:val="00463565"/>
    <w:rsid w:val="00480C4A"/>
    <w:rsid w:val="00502787"/>
    <w:rsid w:val="00503CE5"/>
    <w:rsid w:val="005711F6"/>
    <w:rsid w:val="005C029B"/>
    <w:rsid w:val="006C4533"/>
    <w:rsid w:val="007C0D39"/>
    <w:rsid w:val="00962F13"/>
    <w:rsid w:val="00AC49DB"/>
    <w:rsid w:val="00BA7DD7"/>
    <w:rsid w:val="00CA58C9"/>
    <w:rsid w:val="00D51751"/>
    <w:rsid w:val="00EE1F04"/>
    <w:rsid w:val="00F36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98518"/>
  <w15:docId w15:val="{670C5219-6A3B-4339-96D0-4106C11E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Titlu2">
    <w:name w:val="heading 2"/>
    <w:basedOn w:val="Normal"/>
    <w:next w:val="Normal"/>
    <w:link w:val="Titlu2Caracter"/>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Titlu3">
    <w:name w:val="heading 3"/>
    <w:basedOn w:val="Normal"/>
    <w:next w:val="Normal"/>
    <w:link w:val="Titlu3Caracter"/>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Titlu4">
    <w:name w:val="heading 4"/>
    <w:basedOn w:val="Normal"/>
    <w:next w:val="Normal"/>
    <w:link w:val="Titlu4Caracte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Titlu5">
    <w:name w:val="heading 5"/>
    <w:basedOn w:val="Normal"/>
    <w:next w:val="Normal"/>
    <w:link w:val="Titlu5Caracter"/>
    <w:uiPriority w:val="9"/>
    <w:unhideWhenUsed/>
    <w:qFormat/>
    <w:pPr>
      <w:keepNext/>
      <w:keepLines/>
      <w:spacing w:before="80" w:after="40"/>
      <w:outlineLvl w:val="4"/>
    </w:pPr>
    <w:rPr>
      <w:rFonts w:ascii="Arial" w:eastAsia="Arial" w:hAnsi="Arial" w:cs="Arial"/>
      <w:color w:val="2F5496" w:themeColor="accent1" w:themeShade="BF"/>
    </w:rPr>
  </w:style>
  <w:style w:type="paragraph" w:styleId="Titlu6">
    <w:name w:val="heading 6"/>
    <w:basedOn w:val="Normal"/>
    <w:next w:val="Normal"/>
    <w:link w:val="Titlu6Caracte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Titlu7">
    <w:name w:val="heading 7"/>
    <w:basedOn w:val="Normal"/>
    <w:next w:val="Normal"/>
    <w:link w:val="Titlu7Caracter"/>
    <w:uiPriority w:val="9"/>
    <w:unhideWhenUsed/>
    <w:qFormat/>
    <w:pPr>
      <w:keepNext/>
      <w:keepLines/>
      <w:spacing w:before="40" w:after="0"/>
      <w:outlineLvl w:val="6"/>
    </w:pPr>
    <w:rPr>
      <w:rFonts w:ascii="Arial" w:eastAsia="Arial" w:hAnsi="Arial" w:cs="Arial"/>
      <w:color w:val="595959" w:themeColor="text1" w:themeTint="A6"/>
    </w:rPr>
  </w:style>
  <w:style w:type="paragraph" w:styleId="Titlu8">
    <w:name w:val="heading 8"/>
    <w:basedOn w:val="Normal"/>
    <w:next w:val="Normal"/>
    <w:link w:val="Titlu8Caracter"/>
    <w:uiPriority w:val="9"/>
    <w:unhideWhenUsed/>
    <w:qFormat/>
    <w:pPr>
      <w:keepNext/>
      <w:keepLines/>
      <w:spacing w:after="0"/>
      <w:outlineLvl w:val="7"/>
    </w:pPr>
    <w:rPr>
      <w:rFonts w:ascii="Arial" w:eastAsia="Arial" w:hAnsi="Arial" w:cs="Arial"/>
      <w:i/>
      <w:iCs/>
      <w:color w:val="272727" w:themeColor="text1" w:themeTint="D8"/>
    </w:rPr>
  </w:style>
  <w:style w:type="paragraph" w:styleId="Titlu9">
    <w:name w:val="heading 9"/>
    <w:basedOn w:val="Normal"/>
    <w:next w:val="Normal"/>
    <w:link w:val="Titlu9Caracte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Luminos">
    <w:name w:val="Grid Table Light"/>
    <w:basedOn w:val="Tabel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simplu1">
    <w:name w:val="Plain Table 1"/>
    <w:basedOn w:val="Tabel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simplu2">
    <w:name w:val="Plain Table 2"/>
    <w:basedOn w:val="Tabel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simplu3">
    <w:name w:val="Plain Table 3"/>
    <w:basedOn w:val="Tabel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simplu4">
    <w:name w:val="Plain Table 4"/>
    <w:basedOn w:val="Tabel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simplu5">
    <w:name w:val="Plain Table 5"/>
    <w:basedOn w:val="Tabel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gril1Luminos">
    <w:name w:val="Grid Table 1 Light"/>
    <w:basedOn w:val="Tabel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elgril1Luminos-Accentuare1">
    <w:name w:val="Grid Table 1 Light Accent 1"/>
    <w:basedOn w:val="Tabel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Tabelgril1Luminos-Accentuare2">
    <w:name w:val="Grid Table 1 Light Accent 2"/>
    <w:basedOn w:val="Tabel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Tabelgril1Luminos-Accentuare3">
    <w:name w:val="Grid Table 1 Light Accent 3"/>
    <w:basedOn w:val="Tabel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Tabelgril1Luminos-Accentuare4">
    <w:name w:val="Grid Table 1 Light Accent 4"/>
    <w:basedOn w:val="Tabel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Tabelgril1Luminos-Accentuare5">
    <w:name w:val="Grid Table 1 Light Accent 5"/>
    <w:basedOn w:val="Tabel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Tabelgril1Luminos-Accentuare6">
    <w:name w:val="Grid Table 1 Light Accent 6"/>
    <w:basedOn w:val="Tabel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gril2">
    <w:name w:val="Grid Table 2"/>
    <w:basedOn w:val="Tabel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elgril2-Accentuare1">
    <w:name w:val="Grid Table 2 Accent 1"/>
    <w:basedOn w:val="Tabel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Tabelgril2-Accentuare2">
    <w:name w:val="Grid Table 2 Accent 2"/>
    <w:basedOn w:val="Tabel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elgril2-Accentuare3">
    <w:name w:val="Grid Table 2 Accent 3"/>
    <w:basedOn w:val="Tabel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elgril2-Accentuare4">
    <w:name w:val="Grid Table 2 Accent 4"/>
    <w:basedOn w:val="Tabel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elgril2-Accentuare5">
    <w:name w:val="Grid Table 2 Accent 5"/>
    <w:basedOn w:val="Tabel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Tabelgril2-Accentuare6">
    <w:name w:val="Grid Table 2 Accent 6"/>
    <w:basedOn w:val="Tabel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gril3">
    <w:name w:val="Grid Table 3"/>
    <w:basedOn w:val="Tabel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elgril3-Accentuare1">
    <w:name w:val="Grid Table 3 Accent 1"/>
    <w:basedOn w:val="Tabel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Tabelgril3-Accentuare2">
    <w:name w:val="Grid Table 3 Accent 2"/>
    <w:basedOn w:val="Tabel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elgril3-Accentuare3">
    <w:name w:val="Grid Table 3 Accent 3"/>
    <w:basedOn w:val="Tabel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elgril3-Accentuare4">
    <w:name w:val="Grid Table 3 Accent 4"/>
    <w:basedOn w:val="Tabel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elgril3-Accentuare5">
    <w:name w:val="Grid Table 3 Accent 5"/>
    <w:basedOn w:val="Tabel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Tabelgril3-Accentuare6">
    <w:name w:val="Grid Table 3 Accent 6"/>
    <w:basedOn w:val="Tabel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gril4">
    <w:name w:val="Grid Table 4"/>
    <w:basedOn w:val="Tabel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elgril4-Accentuare1">
    <w:name w:val="Grid Table 4 Accent 1"/>
    <w:basedOn w:val="Tabel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Tabelgril4-Accentuare2">
    <w:name w:val="Grid Table 4 Accent 2"/>
    <w:basedOn w:val="Tabel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elgril4-Accentuare3">
    <w:name w:val="Grid Table 4 Accent 3"/>
    <w:basedOn w:val="Tabel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elgril4-Accentuare4">
    <w:name w:val="Grid Table 4 Accent 4"/>
    <w:basedOn w:val="Tabel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elgril4-Accentuare5">
    <w:name w:val="Grid Table 4 Accent 5"/>
    <w:basedOn w:val="Tabel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Tabelgril4-Accentuare6">
    <w:name w:val="Grid Table 4 Accent 6"/>
    <w:basedOn w:val="Tabel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gril5ntunecat">
    <w:name w:val="Grid Table 5 Dark"/>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Tabelgril5ntunecat-Accentuare2">
    <w:name w:val="Grid Table 5 Dark Accent 2"/>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Tabelgril5ntunecat-Accentuare3">
    <w:name w:val="Grid Table 5 Dark Accent 3"/>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Tabelgril5ntunecat-Accentuare5">
    <w:name w:val="Grid Table 5 Dark Accent 5"/>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Tabelgril5ntunecat-Accentuare6">
    <w:name w:val="Grid Table 5 Dark Accent 6"/>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gril6Colorat">
    <w:name w:val="Grid Table 6 Colorful"/>
    <w:basedOn w:val="Tabel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Tabelgril6Colorat-Accentuare1">
    <w:name w:val="Grid Table 6 Colorful Accent 1"/>
    <w:basedOn w:val="Tabel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Tabelgril6Colorat-Accentuare2">
    <w:name w:val="Grid Table 6 Colorful Accent 2"/>
    <w:basedOn w:val="Tabel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Tabelgril6Colorat-Accentuare3">
    <w:name w:val="Grid Table 6 Colorful Accent 3"/>
    <w:basedOn w:val="Tabel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Tabelgril6Colorat-Accentuare4">
    <w:name w:val="Grid Table 6 Colorful Accent 4"/>
    <w:basedOn w:val="Tabel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Tabelgril6Colorat-Accentuare5">
    <w:name w:val="Grid Table 6 Colorful Accent 5"/>
    <w:basedOn w:val="Tabel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Tabelgril6Colorat-Accentuare6">
    <w:name w:val="Grid Table 6 Colorful Accent 6"/>
    <w:basedOn w:val="Tabel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gril7Colorat">
    <w:name w:val="Grid Table 7 Colorful"/>
    <w:basedOn w:val="Tabel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Tabelgril7Colorat-Accentuare1">
    <w:name w:val="Grid Table 7 Colorful Accent 1"/>
    <w:basedOn w:val="Tabel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Tabelgril7Colorat-Accentuare2">
    <w:name w:val="Grid Table 7 Colorful Accent 2"/>
    <w:basedOn w:val="Tabel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Tabelgril7Colorat-Accentuare3">
    <w:name w:val="Grid Table 7 Colorful Accent 3"/>
    <w:basedOn w:val="Tabel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Tabelgril7Colorat-Accentuare4">
    <w:name w:val="Grid Table 7 Colorful Accent 4"/>
    <w:basedOn w:val="Tabel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Tabelgril7Colorat-Accentuare5">
    <w:name w:val="Grid Table 7 Colorful Accent 5"/>
    <w:basedOn w:val="Tabel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Tabelgril7Colorat-Accentuare6">
    <w:name w:val="Grid Table 7 Colorful Accent 6"/>
    <w:basedOn w:val="Tabel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list1Luminos">
    <w:name w:val="List Table 1 Light"/>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Tabellist1Luminos-Accentuare1">
    <w:name w:val="List Table 1 Light Accent 1"/>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Tabellist1Luminos-Accentuare2">
    <w:name w:val="List Table 1 Light Accent 2"/>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Tabellist1Luminos-Accentuare3">
    <w:name w:val="List Table 1 Light Accent 3"/>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Tabellist1Luminos-Accentuare4">
    <w:name w:val="List Table 1 Light Accent 4"/>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Tabellist1Luminos-Accentuare5">
    <w:name w:val="List Table 1 Light Accent 5"/>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Tabellist1Luminos-Accentuare6">
    <w:name w:val="List Table 1 Light Accent 6"/>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list2">
    <w:name w:val="List Table 2"/>
    <w:basedOn w:val="Tabel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ellist2-Accentuare1">
    <w:name w:val="List Table 2 Accent 1"/>
    <w:basedOn w:val="Tabel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Tabellist2-Accentuare2">
    <w:name w:val="List Table 2 Accent 2"/>
    <w:basedOn w:val="Tabel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Tabellist2-Accentuare3">
    <w:name w:val="List Table 2 Accent 3"/>
    <w:basedOn w:val="Tabel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Tabellist2-Accentuare4">
    <w:name w:val="List Table 2 Accent 4"/>
    <w:basedOn w:val="Tabel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Tabellist2-Accentuare5">
    <w:name w:val="List Table 2 Accent 5"/>
    <w:basedOn w:val="Tabel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Tabellist2-Accentuare6">
    <w:name w:val="List Table 2 Accent 6"/>
    <w:basedOn w:val="Tabel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list3">
    <w:name w:val="List Table 3"/>
    <w:basedOn w:val="Tabel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ellist3-Accentuare1">
    <w:name w:val="List Table 3 Accent 1"/>
    <w:basedOn w:val="Tabel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Tabellist3-Accentuare2">
    <w:name w:val="List Table 3 Accent 2"/>
    <w:basedOn w:val="Tabel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Tabellist3-Accentuare3">
    <w:name w:val="List Table 3 Accent 3"/>
    <w:basedOn w:val="Tabel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Tabellist3-Accentuare4">
    <w:name w:val="List Table 3 Accent 4"/>
    <w:basedOn w:val="Tabel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Tabellist3-Accentuare5">
    <w:name w:val="List Table 3 Accent 5"/>
    <w:basedOn w:val="Tabel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Tabellist3-Accentuare6">
    <w:name w:val="List Table 3 Accent 6"/>
    <w:basedOn w:val="Tabel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list4">
    <w:name w:val="List Table 4"/>
    <w:basedOn w:val="Tabel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ellist4-Accentuare1">
    <w:name w:val="List Table 4 Accent 1"/>
    <w:basedOn w:val="Tabel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Tabellist4-Accentuare2">
    <w:name w:val="List Table 4 Accent 2"/>
    <w:basedOn w:val="Tabel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Tabellist4-Accentuare3">
    <w:name w:val="List Table 4 Accent 3"/>
    <w:basedOn w:val="Tabel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Tabellist4-Accentuare4">
    <w:name w:val="List Table 4 Accent 4"/>
    <w:basedOn w:val="Tabel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Tabellist4-Accentuare5">
    <w:name w:val="List Table 4 Accent 5"/>
    <w:basedOn w:val="Tabel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Tabellist4-Accentuare6">
    <w:name w:val="List Table 4 Accent 6"/>
    <w:basedOn w:val="Tabel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list5ntunecat">
    <w:name w:val="List Table 5 Dark"/>
    <w:basedOn w:val="Tabel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abellist5ntunecat-Accentuare1">
    <w:name w:val="List Table 5 Dark Accent 1"/>
    <w:basedOn w:val="Tabel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Tabellist5ntunecat-Accentuare2">
    <w:name w:val="List Table 5 Dark Accent 2"/>
    <w:basedOn w:val="Tabel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Tabellist5ntunecat-Accentuare3">
    <w:name w:val="List Table 5 Dark Accent 3"/>
    <w:basedOn w:val="Tabel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Tabellist5ntunecat-Accentuare4">
    <w:name w:val="List Table 5 Dark Accent 4"/>
    <w:basedOn w:val="Tabel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Tabellist5ntunecat-Accentuare5">
    <w:name w:val="List Table 5 Dark Accent 5"/>
    <w:basedOn w:val="Tabel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Tabellist5ntunecat-Accentuare6">
    <w:name w:val="List Table 5 Dark Accent 6"/>
    <w:basedOn w:val="Tabel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list6Colorat">
    <w:name w:val="List Table 6 Colorful"/>
    <w:basedOn w:val="Tabel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Tabellist6Colorat-Accentuare1">
    <w:name w:val="List Table 6 Colorful Accent 1"/>
    <w:basedOn w:val="Tabel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Tabellist6Colorat-Accentuare2">
    <w:name w:val="List Table 6 Colorful Accent 2"/>
    <w:basedOn w:val="Tabel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Tabellist6Colorat-Accentuare3">
    <w:name w:val="List Table 6 Colorful Accent 3"/>
    <w:basedOn w:val="Tabel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Tabellist6Colorat-Accentuare4">
    <w:name w:val="List Table 6 Colorful Accent 4"/>
    <w:basedOn w:val="Tabel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Tabellist6Colorat-Accentuare5">
    <w:name w:val="List Table 6 Colorful Accent 5"/>
    <w:basedOn w:val="Tabel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Tabellist6Colorat-Accentuare6">
    <w:name w:val="List Table 6 Colorful Accent 6"/>
    <w:basedOn w:val="Tabel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list7Colorat">
    <w:name w:val="List Table 7 Colorful"/>
    <w:basedOn w:val="Tabel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Tabellist7Colorat-Accentuare1">
    <w:name w:val="List Table 7 Colorful Accent 1"/>
    <w:basedOn w:val="Tabel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Tabellist7Colorat-Accentuare2">
    <w:name w:val="List Table 7 Colorful Accent 2"/>
    <w:basedOn w:val="Tabel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Tabellist7Colorat-Accentuare3">
    <w:name w:val="List Table 7 Colorful Accent 3"/>
    <w:basedOn w:val="Tabel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Tabellist7Colorat-Accentuare4">
    <w:name w:val="List Table 7 Colorful Accent 4"/>
    <w:basedOn w:val="Tabel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Tabellist7Colorat-Accentuare5">
    <w:name w:val="List Table 7 Colorful Accent 5"/>
    <w:basedOn w:val="Tabel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Tabellist7Colorat-Accentuare6">
    <w:name w:val="List Table 7 Colorful Accent 6"/>
    <w:basedOn w:val="Tabel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Normal"/>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Normal"/>
    <w:uiPriority w:val="99"/>
    <w:pPr>
      <w:spacing w:after="0" w:line="240" w:lineRule="auto"/>
    </w:pPr>
    <w:rPr>
      <w:color w:val="404040"/>
      <w:sz w:val="20"/>
      <w:szCs w:val="20"/>
      <w:lang w:val="en-GB"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itlu1Caracter">
    <w:name w:val="Titlu 1 Caracter"/>
    <w:basedOn w:val="Fontdeparagrafimplicit"/>
    <w:link w:val="Titlu1"/>
    <w:uiPriority w:val="9"/>
    <w:rPr>
      <w:rFonts w:ascii="Arial" w:eastAsia="Arial" w:hAnsi="Arial" w:cs="Arial"/>
      <w:color w:val="2F5496" w:themeColor="accent1" w:themeShade="BF"/>
      <w:sz w:val="40"/>
      <w:szCs w:val="40"/>
    </w:rPr>
  </w:style>
  <w:style w:type="character" w:customStyle="1" w:styleId="Titlu2Caracter">
    <w:name w:val="Titlu 2 Caracter"/>
    <w:basedOn w:val="Fontdeparagrafimplicit"/>
    <w:link w:val="Titlu2"/>
    <w:uiPriority w:val="9"/>
    <w:rPr>
      <w:rFonts w:ascii="Arial" w:eastAsia="Arial" w:hAnsi="Arial" w:cs="Arial"/>
      <w:color w:val="2F5496" w:themeColor="accent1" w:themeShade="BF"/>
      <w:sz w:val="32"/>
      <w:szCs w:val="32"/>
    </w:rPr>
  </w:style>
  <w:style w:type="character" w:customStyle="1" w:styleId="Titlu3Caracter">
    <w:name w:val="Titlu 3 Caracter"/>
    <w:basedOn w:val="Fontdeparagrafimplicit"/>
    <w:link w:val="Titlu3"/>
    <w:uiPriority w:val="9"/>
    <w:rPr>
      <w:rFonts w:ascii="Arial" w:eastAsia="Arial" w:hAnsi="Arial" w:cs="Arial"/>
      <w:color w:val="2F5496" w:themeColor="accent1" w:themeShade="BF"/>
      <w:sz w:val="28"/>
      <w:szCs w:val="28"/>
    </w:rPr>
  </w:style>
  <w:style w:type="character" w:customStyle="1" w:styleId="Titlu4Caracter">
    <w:name w:val="Titlu 4 Caracter"/>
    <w:basedOn w:val="Fontdeparagrafimplicit"/>
    <w:link w:val="Titlu4"/>
    <w:uiPriority w:val="9"/>
    <w:rPr>
      <w:rFonts w:ascii="Arial" w:eastAsia="Arial" w:hAnsi="Arial" w:cs="Arial"/>
      <w:i/>
      <w:iCs/>
      <w:color w:val="2F5496" w:themeColor="accent1" w:themeShade="BF"/>
    </w:rPr>
  </w:style>
  <w:style w:type="character" w:customStyle="1" w:styleId="Titlu5Caracter">
    <w:name w:val="Titlu 5 Caracter"/>
    <w:basedOn w:val="Fontdeparagrafimplicit"/>
    <w:link w:val="Titlu5"/>
    <w:uiPriority w:val="9"/>
    <w:rPr>
      <w:rFonts w:ascii="Arial" w:eastAsia="Arial" w:hAnsi="Arial" w:cs="Arial"/>
      <w:color w:val="2F5496" w:themeColor="accent1" w:themeShade="BF"/>
    </w:rPr>
  </w:style>
  <w:style w:type="character" w:customStyle="1" w:styleId="Titlu6Caracter">
    <w:name w:val="Titlu 6 Caracter"/>
    <w:basedOn w:val="Fontdeparagrafimplicit"/>
    <w:link w:val="Titlu6"/>
    <w:uiPriority w:val="9"/>
    <w:rPr>
      <w:rFonts w:ascii="Arial" w:eastAsia="Arial" w:hAnsi="Arial" w:cs="Arial"/>
      <w:i/>
      <w:iCs/>
      <w:color w:val="595959" w:themeColor="text1" w:themeTint="A6"/>
    </w:rPr>
  </w:style>
  <w:style w:type="character" w:customStyle="1" w:styleId="Titlu7Caracter">
    <w:name w:val="Titlu 7 Caracter"/>
    <w:basedOn w:val="Fontdeparagrafimplicit"/>
    <w:link w:val="Titlu7"/>
    <w:uiPriority w:val="9"/>
    <w:rPr>
      <w:rFonts w:ascii="Arial" w:eastAsia="Arial" w:hAnsi="Arial" w:cs="Arial"/>
      <w:color w:val="595959" w:themeColor="text1" w:themeTint="A6"/>
    </w:rPr>
  </w:style>
  <w:style w:type="character" w:customStyle="1" w:styleId="Titlu8Caracter">
    <w:name w:val="Titlu 8 Caracter"/>
    <w:basedOn w:val="Fontdeparagrafimplicit"/>
    <w:link w:val="Titlu8"/>
    <w:uiPriority w:val="9"/>
    <w:rPr>
      <w:rFonts w:ascii="Arial" w:eastAsia="Arial" w:hAnsi="Arial" w:cs="Arial"/>
      <w:i/>
      <w:iCs/>
      <w:color w:val="272727" w:themeColor="text1" w:themeTint="D8"/>
    </w:rPr>
  </w:style>
  <w:style w:type="character" w:customStyle="1" w:styleId="Titlu9Caracter">
    <w:name w:val="Titlu 9 Caracter"/>
    <w:basedOn w:val="Fontdeparagrafimplicit"/>
    <w:link w:val="Titlu9"/>
    <w:uiPriority w:val="9"/>
    <w:rPr>
      <w:rFonts w:ascii="Arial" w:eastAsia="Arial" w:hAnsi="Arial" w:cs="Arial"/>
      <w:i/>
      <w:iCs/>
      <w:color w:val="272727" w:themeColor="text1" w:themeTint="D8"/>
    </w:rPr>
  </w:style>
  <w:style w:type="paragraph" w:styleId="Titlu">
    <w:name w:val="Title"/>
    <w:basedOn w:val="Normal"/>
    <w:next w:val="Normal"/>
    <w:link w:val="TitluCaracter"/>
    <w:uiPriority w:val="10"/>
    <w:qFormat/>
    <w:pPr>
      <w:spacing w:after="80" w:line="240" w:lineRule="auto"/>
      <w:contextualSpacing/>
    </w:pPr>
    <w:rPr>
      <w:rFonts w:ascii="Arial" w:eastAsia="Arial" w:hAnsi="Arial" w:cs="Arial"/>
      <w:spacing w:val="-10"/>
      <w:sz w:val="56"/>
      <w:szCs w:val="56"/>
    </w:rPr>
  </w:style>
  <w:style w:type="character" w:customStyle="1" w:styleId="TitluCaracter">
    <w:name w:val="Titlu Caracter"/>
    <w:basedOn w:val="Fontdeparagrafimplicit"/>
    <w:link w:val="Titlu"/>
    <w:uiPriority w:val="10"/>
    <w:rPr>
      <w:rFonts w:ascii="Arial" w:eastAsia="Arial" w:hAnsi="Arial" w:cs="Arial"/>
      <w:spacing w:val="-10"/>
      <w:sz w:val="56"/>
      <w:szCs w:val="56"/>
    </w:rPr>
  </w:style>
  <w:style w:type="paragraph" w:styleId="Subtitlu">
    <w:name w:val="Subtitle"/>
    <w:basedOn w:val="Normal"/>
    <w:next w:val="Normal"/>
    <w:link w:val="SubtitluCaracter"/>
    <w:uiPriority w:val="11"/>
    <w:qFormat/>
    <w:pPr>
      <w:numPr>
        <w:ilvl w:val="1"/>
      </w:numPr>
    </w:pPr>
    <w:rPr>
      <w:color w:val="595959" w:themeColor="text1" w:themeTint="A6"/>
      <w:spacing w:val="15"/>
      <w:sz w:val="28"/>
      <w:szCs w:val="28"/>
    </w:rPr>
  </w:style>
  <w:style w:type="character" w:customStyle="1" w:styleId="SubtitluCaracter">
    <w:name w:val="Subtitlu Caracter"/>
    <w:basedOn w:val="Fontdeparagrafimplicit"/>
    <w:link w:val="Subtitlu"/>
    <w:uiPriority w:val="11"/>
    <w:rPr>
      <w:color w:val="595959" w:themeColor="text1" w:themeTint="A6"/>
      <w:spacing w:val="15"/>
      <w:sz w:val="28"/>
      <w:szCs w:val="28"/>
    </w:rPr>
  </w:style>
  <w:style w:type="paragraph" w:styleId="Citat">
    <w:name w:val="Quote"/>
    <w:basedOn w:val="Normal"/>
    <w:next w:val="Normal"/>
    <w:link w:val="CitatCaracter"/>
    <w:uiPriority w:val="29"/>
    <w:qFormat/>
    <w:pPr>
      <w:spacing w:before="160"/>
      <w:jc w:val="center"/>
    </w:pPr>
    <w:rPr>
      <w:i/>
      <w:iCs/>
      <w:color w:val="404040" w:themeColor="text1" w:themeTint="BF"/>
    </w:rPr>
  </w:style>
  <w:style w:type="character" w:customStyle="1" w:styleId="CitatCaracter">
    <w:name w:val="Citat Caracter"/>
    <w:basedOn w:val="Fontdeparagrafimplicit"/>
    <w:link w:val="Citat"/>
    <w:uiPriority w:val="29"/>
    <w:rPr>
      <w:i/>
      <w:iCs/>
      <w:color w:val="404040" w:themeColor="text1" w:themeTint="BF"/>
    </w:rPr>
  </w:style>
  <w:style w:type="character" w:styleId="Accentuareintens">
    <w:name w:val="Intense Emphasis"/>
    <w:basedOn w:val="Fontdeparagrafimplicit"/>
    <w:uiPriority w:val="21"/>
    <w:qFormat/>
    <w:rPr>
      <w:i/>
      <w:iCs/>
      <w:color w:val="2F5496" w:themeColor="accent1" w:themeShade="BF"/>
    </w:rPr>
  </w:style>
  <w:style w:type="paragraph" w:styleId="Citatintens">
    <w:name w:val="Intense Quote"/>
    <w:basedOn w:val="Normal"/>
    <w:next w:val="Normal"/>
    <w:link w:val="CitatintensCaracte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Pr>
      <w:i/>
      <w:iCs/>
      <w:color w:val="2F5496" w:themeColor="accent1" w:themeShade="BF"/>
    </w:rPr>
  </w:style>
  <w:style w:type="character" w:styleId="Referireintens">
    <w:name w:val="Intense Reference"/>
    <w:basedOn w:val="Fontdeparagrafimplicit"/>
    <w:uiPriority w:val="32"/>
    <w:qFormat/>
    <w:rPr>
      <w:b/>
      <w:bCs/>
      <w:smallCaps/>
      <w:color w:val="2F5496" w:themeColor="accent1" w:themeShade="BF"/>
      <w:spacing w:val="5"/>
    </w:rPr>
  </w:style>
  <w:style w:type="paragraph" w:styleId="Frspaiere">
    <w:name w:val="No Spacing"/>
    <w:basedOn w:val="Normal"/>
    <w:uiPriority w:val="1"/>
    <w:qFormat/>
    <w:pPr>
      <w:spacing w:after="0" w:line="240" w:lineRule="auto"/>
    </w:pPr>
  </w:style>
  <w:style w:type="character" w:styleId="Accentuaresubtil">
    <w:name w:val="Subtle Emphasis"/>
    <w:basedOn w:val="Fontdeparagrafimplicit"/>
    <w:uiPriority w:val="19"/>
    <w:qFormat/>
    <w:rPr>
      <w:i/>
      <w:iCs/>
      <w:color w:val="404040" w:themeColor="text1" w:themeTint="BF"/>
    </w:rPr>
  </w:style>
  <w:style w:type="character" w:styleId="Accentuat">
    <w:name w:val="Emphasis"/>
    <w:basedOn w:val="Fontdeparagrafimplicit"/>
    <w:uiPriority w:val="20"/>
    <w:qFormat/>
    <w:rPr>
      <w:i/>
      <w:iCs/>
    </w:rPr>
  </w:style>
  <w:style w:type="character" w:styleId="Robust">
    <w:name w:val="Strong"/>
    <w:basedOn w:val="Fontdeparagrafimplicit"/>
    <w:uiPriority w:val="22"/>
    <w:qFormat/>
    <w:rPr>
      <w:b/>
      <w:bCs/>
    </w:rPr>
  </w:style>
  <w:style w:type="character" w:styleId="Referiresubtil">
    <w:name w:val="Subtle Reference"/>
    <w:basedOn w:val="Fontdeparagrafimplicit"/>
    <w:uiPriority w:val="31"/>
    <w:qFormat/>
    <w:rPr>
      <w:smallCaps/>
      <w:color w:val="5A5A5A" w:themeColor="text1" w:themeTint="A5"/>
    </w:rPr>
  </w:style>
  <w:style w:type="character" w:styleId="Titlulcrii">
    <w:name w:val="Book Title"/>
    <w:basedOn w:val="Fontdeparagrafimplicit"/>
    <w:uiPriority w:val="33"/>
    <w:qFormat/>
    <w:rPr>
      <w:b/>
      <w:bCs/>
      <w:i/>
      <w:iCs/>
      <w:spacing w:val="5"/>
    </w:rPr>
  </w:style>
  <w:style w:type="paragraph" w:styleId="Legend">
    <w:name w:val="caption"/>
    <w:basedOn w:val="Normal"/>
    <w:next w:val="Normal"/>
    <w:uiPriority w:val="35"/>
    <w:unhideWhenUsed/>
    <w:qFormat/>
    <w:pPr>
      <w:spacing w:after="200" w:line="240" w:lineRule="auto"/>
    </w:pPr>
    <w:rPr>
      <w:i/>
      <w:iCs/>
      <w:color w:val="44546A" w:themeColor="text2"/>
      <w:sz w:val="18"/>
      <w:szCs w:val="18"/>
    </w:rPr>
  </w:style>
  <w:style w:type="paragraph" w:styleId="Textnotdesubsol">
    <w:name w:val="footnote text"/>
    <w:basedOn w:val="Normal"/>
    <w:link w:val="TextnotdesubsolCaracter"/>
    <w:uiPriority w:val="99"/>
    <w:semiHidden/>
    <w:unhideWhenUsed/>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Pr>
      <w:sz w:val="20"/>
      <w:szCs w:val="20"/>
    </w:rPr>
  </w:style>
  <w:style w:type="character" w:styleId="Referinnotdesubsol">
    <w:name w:val="footnote reference"/>
    <w:basedOn w:val="Fontdeparagrafimplicit"/>
    <w:uiPriority w:val="99"/>
    <w:semiHidden/>
    <w:unhideWhenUsed/>
    <w:rPr>
      <w:vertAlign w:val="superscript"/>
    </w:rPr>
  </w:style>
  <w:style w:type="paragraph" w:styleId="Textnotdefinal">
    <w:name w:val="endnote text"/>
    <w:basedOn w:val="Normal"/>
    <w:link w:val="TextnotdefinalCaracter"/>
    <w:uiPriority w:val="99"/>
    <w:semiHidden/>
    <w:unhideWhenUsed/>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Pr>
      <w:sz w:val="20"/>
      <w:szCs w:val="20"/>
    </w:rPr>
  </w:style>
  <w:style w:type="character" w:styleId="Referinnotdefinal">
    <w:name w:val="endnote reference"/>
    <w:basedOn w:val="Fontdeparagrafimplicit"/>
    <w:uiPriority w:val="99"/>
    <w:semiHidden/>
    <w:unhideWhenUsed/>
    <w:rPr>
      <w:vertAlign w:val="superscript"/>
    </w:rPr>
  </w:style>
  <w:style w:type="character" w:styleId="Hyperlink">
    <w:name w:val="Hyperlink"/>
    <w:basedOn w:val="Fontdeparagrafimplicit"/>
    <w:uiPriority w:val="99"/>
    <w:unhideWhenUsed/>
    <w:rPr>
      <w:color w:val="0563C1" w:themeColor="hyperlink"/>
      <w:u w:val="single"/>
    </w:rPr>
  </w:style>
  <w:style w:type="character" w:styleId="HyperlinkParcurs">
    <w:name w:val="FollowedHyperlink"/>
    <w:basedOn w:val="Fontdeparagrafimplicit"/>
    <w:uiPriority w:val="99"/>
    <w:semiHidden/>
    <w:unhideWhenUsed/>
    <w:rPr>
      <w:color w:val="954F72" w:themeColor="followedHyperlink"/>
      <w:u w:val="single"/>
    </w:rPr>
  </w:style>
  <w:style w:type="paragraph" w:styleId="Titlucuprins">
    <w:name w:val="TOC Heading"/>
    <w:uiPriority w:val="39"/>
    <w:unhideWhenUsed/>
  </w:style>
  <w:style w:type="paragraph" w:styleId="Tabeldefiguri">
    <w:name w:val="table of figures"/>
    <w:basedOn w:val="Normal"/>
    <w:next w:val="Normal"/>
    <w:uiPriority w:val="99"/>
    <w:unhideWhenUsed/>
    <w:pPr>
      <w:spacing w:after="0"/>
    </w:pPr>
  </w:style>
  <w:style w:type="table" w:styleId="Tabelgril">
    <w:name w:val="Table Grid"/>
    <w:basedOn w:val="Tabel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basedOn w:val="Normal"/>
    <w:uiPriority w:val="34"/>
    <w:qFormat/>
    <w:pPr>
      <w:ind w:left="720"/>
      <w:contextualSpacing/>
    </w:p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styleId="Antet">
    <w:name w:val="header"/>
    <w:basedOn w:val="Normal"/>
    <w:link w:val="AntetCaracter"/>
    <w:uiPriority w:val="99"/>
    <w:unhideWhenUsed/>
    <w:pPr>
      <w:tabs>
        <w:tab w:val="center" w:pos="4680"/>
        <w:tab w:val="right" w:pos="9360"/>
      </w:tabs>
      <w:spacing w:after="0" w:line="240" w:lineRule="auto"/>
    </w:pPr>
  </w:style>
  <w:style w:type="character" w:customStyle="1" w:styleId="AntetCaracter">
    <w:name w:val="Antet Caracter"/>
    <w:basedOn w:val="Fontdeparagrafimplicit"/>
    <w:link w:val="Antet"/>
    <w:uiPriority w:val="99"/>
  </w:style>
  <w:style w:type="paragraph" w:styleId="Subsol">
    <w:name w:val="footer"/>
    <w:basedOn w:val="Normal"/>
    <w:link w:val="SubsolCaracter"/>
    <w:uiPriority w:val="99"/>
    <w:unhideWhenUsed/>
    <w:pPr>
      <w:tabs>
        <w:tab w:val="center" w:pos="4680"/>
        <w:tab w:val="right" w:pos="9360"/>
      </w:tabs>
      <w:spacing w:after="0" w:line="240" w:lineRule="auto"/>
    </w:pPr>
  </w:style>
  <w:style w:type="character" w:customStyle="1" w:styleId="SubsolCaracter">
    <w:name w:val="Subsol Caracter"/>
    <w:basedOn w:val="Fontdeparagrafimplicit"/>
    <w:link w:val="Subsol"/>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Fontdeparagrafimplicit"/>
  </w:style>
  <w:style w:type="paragraph" w:styleId="Textcomentariu">
    <w:name w:val="annotation text"/>
    <w:basedOn w:val="Normal"/>
    <w:link w:val="TextcomentariuCaracter"/>
    <w:uiPriority w:val="99"/>
    <w:unhideWhenUsed/>
    <w:pPr>
      <w:spacing w:line="240" w:lineRule="auto"/>
    </w:pPr>
    <w:rPr>
      <w:rFonts w:ascii="Calibri" w:eastAsia="Calibri" w:hAnsi="Calibri" w:cs="Calibri"/>
      <w:sz w:val="20"/>
      <w:szCs w:val="20"/>
      <w:lang w:val="en-IE"/>
    </w:rPr>
  </w:style>
  <w:style w:type="character" w:customStyle="1" w:styleId="TextcomentariuCaracter">
    <w:name w:val="Text comentariu Caracter"/>
    <w:basedOn w:val="Fontdeparagrafimplicit"/>
    <w:link w:val="Textcomentariu"/>
    <w:uiPriority w:val="99"/>
    <w:rPr>
      <w:rFonts w:ascii="Calibri" w:eastAsia="Calibri" w:hAnsi="Calibri" w:cs="Calibri"/>
      <w:sz w:val="20"/>
      <w:szCs w:val="20"/>
      <w:lang w:val="en-IE"/>
    </w:rPr>
  </w:style>
  <w:style w:type="paragraph" w:styleId="Corptext">
    <w:name w:val="Body Text"/>
    <w:basedOn w:val="Normal"/>
    <w:link w:val="CorptextCaracter"/>
    <w:uiPriority w:val="1"/>
    <w:qFormat/>
    <w:pPr>
      <w:widowControl w:val="0"/>
      <w:spacing w:after="0" w:line="240" w:lineRule="auto"/>
      <w:ind w:left="363"/>
    </w:pPr>
    <w:rPr>
      <w:rFonts w:ascii="Times New Roman" w:eastAsia="Times New Roman" w:hAnsi="Times New Roman"/>
      <w:sz w:val="27"/>
      <w:szCs w:val="27"/>
    </w:rPr>
  </w:style>
  <w:style w:type="character" w:customStyle="1" w:styleId="CorptextCaracter">
    <w:name w:val="Corp text Caracter"/>
    <w:basedOn w:val="Fontdeparagrafimplicit"/>
    <w:link w:val="Corptext"/>
    <w:uiPriority w:val="1"/>
    <w:rPr>
      <w:rFonts w:ascii="Times New Roman" w:eastAsia="Times New Roman" w:hAnsi="Times New Roman"/>
      <w:sz w:val="27"/>
      <w:szCs w:val="27"/>
    </w:rPr>
  </w:style>
  <w:style w:type="character" w:styleId="Referincomentariu">
    <w:name w:val="annotation reference"/>
    <w:basedOn w:val="Fontdeparagrafimplicit"/>
    <w:uiPriority w:val="99"/>
    <w:semiHidden/>
    <w:unhideWhenUsed/>
    <w:rPr>
      <w:sz w:val="16"/>
      <w:szCs w:val="16"/>
    </w:rPr>
  </w:style>
  <w:style w:type="paragraph" w:styleId="TextnBalon">
    <w:name w:val="Balloon Text"/>
    <w:basedOn w:val="Normal"/>
    <w:link w:val="TextnBalonCaracter"/>
    <w:uiPriority w:val="99"/>
    <w:semiHidden/>
    <w:unhideWhenUsed/>
    <w:rsid w:val="0024020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02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13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v.md/sites/default/files/anexa_a_-_capitolul_18.pdf" TargetMode="External"/><Relationship Id="rId13" Type="http://schemas.openxmlformats.org/officeDocument/2006/relationships/hyperlink" Target="https://gov.md/sites/default/files/anexa_b_-_capitolul_18.pdf"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ov.md/ro/advanced-page-type/info-centre" TargetMode="External"/><Relationship Id="rId12" Type="http://schemas.openxmlformats.org/officeDocument/2006/relationships/hyperlink" Target="https://gov.md/sites/default/files/anexa_a_-_capitolul_18.pdf" TargetMode="External"/><Relationship Id="rId17" Type="http://schemas.openxmlformats.org/officeDocument/2006/relationships/hyperlink" Target="https://www.gsma.com/connectivity-for-good/spectrum/wpcontent/uploads/2025/02/GSMA-Spectrum-Policy-Trends-2025-1.pdf" TargetMode="External"/><Relationship Id="rId2" Type="http://schemas.openxmlformats.org/officeDocument/2006/relationships/styles" Target="styles.xml"/><Relationship Id="rId16" Type="http://schemas.openxmlformats.org/officeDocument/2006/relationships/hyperlink" Target="https://www.facebook.com/ansagovmd/?locale=ro_R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ov.md/ro/advanced-page-type/info-centre" TargetMode="External"/><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oleObject" Target="embeddings/oleObject1.bin"/><Relationship Id="rId23" Type="http://schemas.microsoft.com/office/2016/09/relationships/commentsIds" Target="commentsIds.xml"/><Relationship Id="rId10" Type="http://schemas.openxmlformats.org/officeDocument/2006/relationships/hyperlink" Target="https://www.legis.md/cautare/getResults?doc_id=146155&amp;lang=ro" TargetMode="External"/><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hyperlink" Target="https://gov.md/sites/default/files/anexa_b_-_capitolul_18.pdf" TargetMode="Externa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7ACF5-C47B-4A9F-9C3E-C95FD784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74</Pages>
  <Words>37129</Words>
  <Characters>211640</Characters>
  <Application>Microsoft Office Word</Application>
  <DocSecurity>0</DocSecurity>
  <Lines>1763</Lines>
  <Paragraphs>496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Dorel Noroc</dc:creator>
  <cp:keywords/>
  <dc:description/>
  <cp:lastModifiedBy>Irina Batrin</cp:lastModifiedBy>
  <cp:revision>4</cp:revision>
  <dcterms:created xsi:type="dcterms:W3CDTF">2025-04-29T14:05:00Z</dcterms:created>
  <dcterms:modified xsi:type="dcterms:W3CDTF">2025-04-30T08:27:00Z</dcterms:modified>
</cp:coreProperties>
</file>