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066F71" w:rsidRPr="00066F71" w:rsidTr="00E85B7D">
        <w:trPr>
          <w:jc w:val="center"/>
        </w:trPr>
        <w:tc>
          <w:tcPr>
            <w:tcW w:w="3544" w:type="dxa"/>
            <w:tcBorders>
              <w:top w:val="nil"/>
              <w:bottom w:val="nil"/>
            </w:tcBorders>
            <w:shd w:val="clear" w:color="auto" w:fill="auto"/>
          </w:tcPr>
          <w:p w:rsidR="00066F71" w:rsidRPr="00066F71" w:rsidRDefault="00066F71" w:rsidP="00E85B7D">
            <w:pPr>
              <w:tabs>
                <w:tab w:val="left" w:pos="567"/>
              </w:tabs>
              <w:ind w:firstLine="0"/>
              <w:jc w:val="center"/>
              <w:rPr>
                <w:sz w:val="24"/>
              </w:rPr>
            </w:pPr>
          </w:p>
          <w:p w:rsidR="00066F71" w:rsidRPr="00066F71" w:rsidRDefault="00066F71" w:rsidP="00E85B7D">
            <w:pPr>
              <w:tabs>
                <w:tab w:val="left" w:pos="567"/>
              </w:tabs>
              <w:jc w:val="center"/>
              <w:rPr>
                <w:sz w:val="24"/>
              </w:rPr>
            </w:pPr>
          </w:p>
          <w:p w:rsidR="00066F71" w:rsidRPr="00066F71" w:rsidRDefault="00066F71" w:rsidP="00E85B7D">
            <w:pPr>
              <w:tabs>
                <w:tab w:val="left" w:pos="567"/>
              </w:tabs>
              <w:jc w:val="center"/>
              <w:rPr>
                <w:sz w:val="24"/>
              </w:rPr>
            </w:pPr>
          </w:p>
          <w:p w:rsidR="00066F71" w:rsidRPr="00066F71" w:rsidRDefault="00066F71" w:rsidP="00E85B7D">
            <w:pPr>
              <w:pStyle w:val="Heading5"/>
              <w:tabs>
                <w:tab w:val="left" w:pos="567"/>
              </w:tabs>
              <w:rPr>
                <w:rFonts w:ascii="Times New Roman" w:hAnsi="Times New Roman"/>
                <w:b/>
              </w:rPr>
            </w:pPr>
          </w:p>
          <w:p w:rsidR="00066F71" w:rsidRPr="00066F71" w:rsidRDefault="00066F71" w:rsidP="00E85B7D">
            <w:pPr>
              <w:pStyle w:val="Heading8"/>
              <w:tabs>
                <w:tab w:val="left" w:pos="567"/>
              </w:tabs>
              <w:rPr>
                <w:rFonts w:ascii="Times New Roman" w:hAnsi="Times New Roman"/>
                <w:sz w:val="20"/>
              </w:rPr>
            </w:pPr>
          </w:p>
          <w:p w:rsidR="00066F71" w:rsidRPr="00066F71" w:rsidRDefault="00066F71" w:rsidP="00E85B7D">
            <w:pPr>
              <w:tabs>
                <w:tab w:val="left" w:pos="567"/>
              </w:tabs>
            </w:pPr>
          </w:p>
        </w:tc>
        <w:tc>
          <w:tcPr>
            <w:tcW w:w="1835" w:type="dxa"/>
            <w:tcBorders>
              <w:top w:val="nil"/>
              <w:bottom w:val="nil"/>
            </w:tcBorders>
          </w:tcPr>
          <w:p w:rsidR="00066F71" w:rsidRPr="00066F71" w:rsidRDefault="00066F71" w:rsidP="00E85B7D">
            <w:pPr>
              <w:tabs>
                <w:tab w:val="left" w:pos="567"/>
              </w:tabs>
              <w:ind w:firstLine="0"/>
              <w:jc w:val="center"/>
              <w:rPr>
                <w:b/>
              </w:rPr>
            </w:pPr>
            <w:r w:rsidRPr="00066F71">
              <w:rPr>
                <w:b/>
              </w:rPr>
              <w:object w:dxaOrig="1697" w:dyaOrig="1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72.5pt" o:ole="" fillcolor="window">
                  <v:imagedata r:id="rId5" o:title=""/>
                </v:shape>
                <o:OLEObject Type="Embed" ProgID="Word.Picture.8" ShapeID="_x0000_i1025" DrawAspect="Content" ObjectID="_1807948134" r:id="rId6"/>
              </w:object>
            </w:r>
          </w:p>
        </w:tc>
        <w:tc>
          <w:tcPr>
            <w:tcW w:w="3693" w:type="dxa"/>
            <w:tcBorders>
              <w:top w:val="nil"/>
              <w:bottom w:val="nil"/>
            </w:tcBorders>
          </w:tcPr>
          <w:p w:rsidR="00066F71" w:rsidRPr="00066F71" w:rsidRDefault="00066F71" w:rsidP="00E85B7D">
            <w:pPr>
              <w:tabs>
                <w:tab w:val="left" w:pos="567"/>
              </w:tabs>
              <w:jc w:val="center"/>
              <w:rPr>
                <w:b/>
                <w:sz w:val="30"/>
              </w:rPr>
            </w:pPr>
          </w:p>
          <w:p w:rsidR="00066F71" w:rsidRPr="00066F71" w:rsidRDefault="00066F71" w:rsidP="00E85B7D">
            <w:pPr>
              <w:tabs>
                <w:tab w:val="left" w:pos="567"/>
              </w:tabs>
              <w:rPr>
                <w:sz w:val="30"/>
              </w:rPr>
            </w:pPr>
          </w:p>
          <w:p w:rsidR="00066F71" w:rsidRPr="00066F71" w:rsidRDefault="00066F71" w:rsidP="00E85B7D">
            <w:pPr>
              <w:tabs>
                <w:tab w:val="left" w:pos="567"/>
              </w:tabs>
              <w:rPr>
                <w:sz w:val="30"/>
              </w:rPr>
            </w:pPr>
          </w:p>
          <w:p w:rsidR="00066F71" w:rsidRPr="00066F71" w:rsidRDefault="00066F71" w:rsidP="00E85B7D">
            <w:pPr>
              <w:tabs>
                <w:tab w:val="left" w:pos="567"/>
              </w:tabs>
              <w:rPr>
                <w:sz w:val="30"/>
              </w:rPr>
            </w:pPr>
          </w:p>
          <w:p w:rsidR="00066F71" w:rsidRPr="00066F71" w:rsidRDefault="00066F71" w:rsidP="00E85B7D">
            <w:pPr>
              <w:tabs>
                <w:tab w:val="left" w:pos="567"/>
              </w:tabs>
              <w:rPr>
                <w:sz w:val="30"/>
              </w:rPr>
            </w:pPr>
          </w:p>
        </w:tc>
      </w:tr>
      <w:tr w:rsidR="00066F71" w:rsidRPr="00066F71" w:rsidTr="00E85B7D">
        <w:trPr>
          <w:cantSplit/>
          <w:jc w:val="center"/>
        </w:trPr>
        <w:tc>
          <w:tcPr>
            <w:tcW w:w="9072" w:type="dxa"/>
            <w:gridSpan w:val="3"/>
            <w:tcBorders>
              <w:top w:val="nil"/>
              <w:bottom w:val="nil"/>
            </w:tcBorders>
          </w:tcPr>
          <w:p w:rsidR="00066F71" w:rsidRPr="00066F71" w:rsidRDefault="00066F71" w:rsidP="00E85B7D">
            <w:pPr>
              <w:pStyle w:val="Heading8"/>
              <w:tabs>
                <w:tab w:val="left" w:pos="567"/>
              </w:tabs>
              <w:rPr>
                <w:rFonts w:ascii="Times New Roman" w:hAnsi="Times New Roman"/>
                <w:sz w:val="10"/>
              </w:rPr>
            </w:pPr>
          </w:p>
          <w:p w:rsidR="00066F71" w:rsidRPr="00066F71" w:rsidRDefault="00066F71" w:rsidP="00E85B7D">
            <w:pPr>
              <w:pStyle w:val="Heading8"/>
              <w:tabs>
                <w:tab w:val="left" w:pos="567"/>
              </w:tabs>
              <w:ind w:hanging="28"/>
              <w:rPr>
                <w:rFonts w:ascii="Times New Roman" w:hAnsi="Times New Roman"/>
                <w:spacing w:val="20"/>
                <w:sz w:val="40"/>
                <w:szCs w:val="40"/>
              </w:rPr>
            </w:pPr>
            <w:r w:rsidRPr="00066F71">
              <w:rPr>
                <w:rFonts w:ascii="Times New Roman" w:hAnsi="Times New Roman"/>
                <w:spacing w:val="20"/>
                <w:sz w:val="40"/>
                <w:szCs w:val="40"/>
              </w:rPr>
              <w:t>GUVERNUL REPUBLICII MOLDOVA</w:t>
            </w:r>
          </w:p>
          <w:p w:rsidR="00066F71" w:rsidRPr="00066F71" w:rsidRDefault="00066F71" w:rsidP="00E85B7D">
            <w:pPr>
              <w:pStyle w:val="Heading8"/>
              <w:tabs>
                <w:tab w:val="left" w:pos="567"/>
              </w:tabs>
              <w:ind w:hanging="28"/>
              <w:rPr>
                <w:rFonts w:ascii="Times New Roman" w:hAnsi="Times New Roman"/>
                <w:sz w:val="32"/>
                <w:szCs w:val="32"/>
              </w:rPr>
            </w:pPr>
          </w:p>
          <w:p w:rsidR="00066F71" w:rsidRPr="00066F71" w:rsidRDefault="00066F71" w:rsidP="00E85B7D">
            <w:pPr>
              <w:pStyle w:val="Heading8"/>
              <w:tabs>
                <w:tab w:val="left" w:pos="567"/>
              </w:tabs>
              <w:ind w:hanging="28"/>
              <w:rPr>
                <w:rFonts w:ascii="Times New Roman" w:hAnsi="Times New Roman"/>
                <w:szCs w:val="24"/>
              </w:rPr>
            </w:pPr>
            <w:r w:rsidRPr="00066F71">
              <w:rPr>
                <w:rFonts w:ascii="Times New Roman" w:hAnsi="Times New Roman"/>
                <w:sz w:val="32"/>
                <w:szCs w:val="32"/>
              </w:rPr>
              <w:t>H O T Ă R Â R E</w:t>
            </w:r>
            <w:r w:rsidRPr="00066F71">
              <w:rPr>
                <w:rFonts w:ascii="Times New Roman" w:hAnsi="Times New Roman"/>
                <w:sz w:val="28"/>
                <w:szCs w:val="28"/>
              </w:rPr>
              <w:t xml:space="preserve">  </w:t>
            </w:r>
            <w:r w:rsidRPr="00066F71">
              <w:rPr>
                <w:rFonts w:ascii="Times New Roman" w:hAnsi="Times New Roman"/>
                <w:szCs w:val="24"/>
              </w:rPr>
              <w:t>nr</w:t>
            </w:r>
            <w:r w:rsidRPr="00066F71">
              <w:rPr>
                <w:rFonts w:ascii="Times New Roman" w:hAnsi="Times New Roman"/>
                <w:b w:val="0"/>
                <w:szCs w:val="24"/>
              </w:rPr>
              <w:t>.</w:t>
            </w:r>
            <w:r w:rsidRPr="00066F71">
              <w:rPr>
                <w:rFonts w:ascii="Times New Roman" w:hAnsi="Times New Roman"/>
                <w:szCs w:val="24"/>
              </w:rPr>
              <w:t>_______</w:t>
            </w:r>
          </w:p>
          <w:p w:rsidR="00066F71" w:rsidRPr="00066F71" w:rsidRDefault="00066F71" w:rsidP="00E85B7D">
            <w:pPr>
              <w:tabs>
                <w:tab w:val="left" w:pos="567"/>
              </w:tabs>
              <w:ind w:hanging="28"/>
            </w:pPr>
          </w:p>
          <w:p w:rsidR="00066F71" w:rsidRPr="00066F71" w:rsidRDefault="00066F71" w:rsidP="00E85B7D">
            <w:pPr>
              <w:tabs>
                <w:tab w:val="left" w:pos="567"/>
              </w:tabs>
              <w:ind w:hanging="28"/>
              <w:jc w:val="center"/>
            </w:pPr>
            <w:r w:rsidRPr="00066F71">
              <w:rPr>
                <w:b/>
                <w:sz w:val="24"/>
                <w:szCs w:val="24"/>
              </w:rPr>
              <w:t>din</w:t>
            </w:r>
            <w:r w:rsidRPr="00066F71">
              <w:t xml:space="preserve"> ____________________________________</w:t>
            </w:r>
          </w:p>
          <w:p w:rsidR="00066F71" w:rsidRPr="00066F71" w:rsidRDefault="00066F71" w:rsidP="00E85B7D">
            <w:pPr>
              <w:tabs>
                <w:tab w:val="left" w:pos="567"/>
              </w:tabs>
              <w:ind w:hanging="28"/>
              <w:jc w:val="center"/>
              <w:rPr>
                <w:b/>
                <w:sz w:val="24"/>
                <w:szCs w:val="24"/>
              </w:rPr>
            </w:pPr>
            <w:r w:rsidRPr="00066F71">
              <w:rPr>
                <w:b/>
                <w:sz w:val="24"/>
                <w:szCs w:val="24"/>
              </w:rPr>
              <w:t>Chișinău</w:t>
            </w:r>
          </w:p>
          <w:p w:rsidR="00066F71" w:rsidRPr="00066F71" w:rsidRDefault="00066F71" w:rsidP="00E85B7D">
            <w:pPr>
              <w:pStyle w:val="Heading8"/>
              <w:tabs>
                <w:tab w:val="left" w:pos="567"/>
              </w:tabs>
              <w:rPr>
                <w:rFonts w:ascii="Times New Roman" w:hAnsi="Times New Roman"/>
                <w:sz w:val="4"/>
              </w:rPr>
            </w:pPr>
          </w:p>
          <w:p w:rsidR="00066F71" w:rsidRPr="00066F71" w:rsidRDefault="00066F71" w:rsidP="00E85B7D">
            <w:pPr>
              <w:pStyle w:val="Heading8"/>
              <w:tabs>
                <w:tab w:val="left" w:pos="567"/>
              </w:tabs>
              <w:rPr>
                <w:rFonts w:ascii="Times New Roman" w:hAnsi="Times New Roman"/>
                <w:b w:val="0"/>
                <w:sz w:val="16"/>
              </w:rPr>
            </w:pPr>
          </w:p>
        </w:tc>
      </w:tr>
    </w:tbl>
    <w:p w:rsidR="00066F71" w:rsidRPr="00066F71" w:rsidRDefault="00066F71" w:rsidP="00066F71">
      <w:pPr>
        <w:tabs>
          <w:tab w:val="left" w:pos="567"/>
        </w:tabs>
        <w:ind w:firstLine="142"/>
        <w:jc w:val="right"/>
        <w:rPr>
          <w:sz w:val="22"/>
          <w:szCs w:val="22"/>
          <w:lang w:eastAsia="ru-RU"/>
        </w:rPr>
      </w:pPr>
      <w:r w:rsidRPr="00066F71">
        <w:rPr>
          <w:b/>
          <w:i/>
          <w:sz w:val="22"/>
          <w:szCs w:val="22"/>
          <w:lang w:eastAsia="ru-RU"/>
        </w:rPr>
        <w:t>Proiect</w:t>
      </w:r>
    </w:p>
    <w:p w:rsidR="00066F71" w:rsidRPr="00066F71" w:rsidRDefault="00066F71" w:rsidP="00066F71">
      <w:pPr>
        <w:tabs>
          <w:tab w:val="left" w:pos="567"/>
        </w:tabs>
        <w:ind w:firstLine="142"/>
        <w:jc w:val="center"/>
        <w:rPr>
          <w:b/>
          <w:sz w:val="28"/>
          <w:szCs w:val="28"/>
          <w:lang w:eastAsia="ru-RU"/>
        </w:rPr>
      </w:pPr>
    </w:p>
    <w:p w:rsidR="00066F71" w:rsidRPr="00066F71" w:rsidRDefault="00066F71" w:rsidP="00066F71">
      <w:pPr>
        <w:pStyle w:val="Heading4"/>
        <w:shd w:val="clear" w:color="auto" w:fill="FFFFFF"/>
        <w:spacing w:before="165" w:after="165"/>
        <w:rPr>
          <w:rFonts w:ascii="Times New Roman" w:hAnsi="Times New Roman"/>
          <w:color w:val="0D0D0D" w:themeColor="text1" w:themeTint="F2"/>
          <w:lang w:val="ro-MD"/>
        </w:rPr>
      </w:pPr>
      <w:r w:rsidRPr="00066F71">
        <w:rPr>
          <w:rFonts w:ascii="Times New Roman" w:hAnsi="Times New Roman"/>
          <w:color w:val="0D0D0D" w:themeColor="text1" w:themeTint="F2"/>
          <w:lang w:val="ro-MD"/>
        </w:rPr>
        <w:t>cu privire la modificarea Hotărârii Guvernului nr. 330/2023 cu privire la aprobarea Cadrului Național al Calificărilor</w:t>
      </w:r>
    </w:p>
    <w:p w:rsidR="00066F71" w:rsidRPr="00066F71" w:rsidRDefault="00066F71" w:rsidP="00066F71">
      <w:pPr>
        <w:tabs>
          <w:tab w:val="left" w:pos="567"/>
        </w:tabs>
        <w:ind w:firstLine="142"/>
        <w:jc w:val="center"/>
        <w:rPr>
          <w:b/>
          <w:sz w:val="24"/>
          <w:szCs w:val="24"/>
          <w:lang w:val="ro-MD" w:eastAsia="ru-RU"/>
        </w:rPr>
      </w:pPr>
    </w:p>
    <w:p w:rsidR="00066F71" w:rsidRPr="00066F71" w:rsidRDefault="00066F71" w:rsidP="00066F71">
      <w:pPr>
        <w:spacing w:line="276" w:lineRule="auto"/>
        <w:rPr>
          <w:b/>
          <w:color w:val="0D0D0D" w:themeColor="text1" w:themeTint="F2"/>
          <w:sz w:val="24"/>
          <w:szCs w:val="24"/>
          <w:lang w:val="ro-MD"/>
        </w:rPr>
      </w:pPr>
      <w:r w:rsidRPr="00066F71">
        <w:rPr>
          <w:color w:val="0D0D0D" w:themeColor="text1" w:themeTint="F2"/>
          <w:sz w:val="24"/>
          <w:szCs w:val="24"/>
          <w:lang w:val="ro-MD"/>
        </w:rPr>
        <w:t>În temeiul art.140 alin. (l) lit. (b) și lit. (e) din Codul educației nr.152/2014 (Monitorul Oficial al Republicii Moldova, 2014, 319-324, art. 634), Guvernul</w:t>
      </w:r>
      <w:r w:rsidRPr="00066F71">
        <w:rPr>
          <w:b/>
          <w:color w:val="0D0D0D" w:themeColor="text1" w:themeTint="F2"/>
          <w:sz w:val="24"/>
          <w:szCs w:val="24"/>
          <w:lang w:val="ro-MD"/>
        </w:rPr>
        <w:t xml:space="preserve"> </w:t>
      </w:r>
    </w:p>
    <w:p w:rsidR="00066F71" w:rsidRPr="00066F71" w:rsidRDefault="00066F71" w:rsidP="00066F71">
      <w:pPr>
        <w:spacing w:before="120" w:after="120" w:line="276" w:lineRule="auto"/>
        <w:jc w:val="center"/>
        <w:rPr>
          <w:b/>
          <w:color w:val="0D0D0D" w:themeColor="text1" w:themeTint="F2"/>
          <w:sz w:val="24"/>
          <w:szCs w:val="24"/>
          <w:lang w:val="ro-MD"/>
        </w:rPr>
      </w:pPr>
      <w:r w:rsidRPr="00066F71">
        <w:rPr>
          <w:b/>
          <w:color w:val="0D0D0D" w:themeColor="text1" w:themeTint="F2"/>
          <w:sz w:val="24"/>
          <w:szCs w:val="24"/>
          <w:lang w:val="ro-MD"/>
        </w:rPr>
        <w:t>HOTĂRĂŞTE:</w:t>
      </w:r>
    </w:p>
    <w:p w:rsidR="00066F71" w:rsidRPr="00066F71" w:rsidRDefault="00066F71" w:rsidP="00066F71">
      <w:pPr>
        <w:spacing w:line="276" w:lineRule="auto"/>
        <w:ind w:right="36"/>
        <w:rPr>
          <w:bCs/>
          <w:color w:val="0D0D0D" w:themeColor="text1" w:themeTint="F2"/>
          <w:sz w:val="24"/>
          <w:szCs w:val="24"/>
          <w:lang w:val="ro-MD"/>
        </w:rPr>
      </w:pPr>
      <w:r w:rsidRPr="00066F71">
        <w:rPr>
          <w:bCs/>
          <w:color w:val="0D0D0D" w:themeColor="text1" w:themeTint="F2"/>
          <w:sz w:val="24"/>
          <w:szCs w:val="24"/>
          <w:lang w:val="ro-MD"/>
        </w:rPr>
        <w:t xml:space="preserve">1. Anexa 1 la Hotărârea Guvernului nr.330/2023, CADRUL NAȚIONAL AL CALIFICĂRILOR, </w:t>
      </w:r>
      <w:r w:rsidRPr="00066F71">
        <w:rPr>
          <w:color w:val="0D0D0D" w:themeColor="text1" w:themeTint="F2"/>
          <w:sz w:val="24"/>
          <w:szCs w:val="24"/>
          <w:lang w:val="ro-MD"/>
        </w:rPr>
        <w:t xml:space="preserve">se modifică după </w:t>
      </w:r>
      <w:proofErr w:type="spellStart"/>
      <w:r w:rsidRPr="00066F71">
        <w:rPr>
          <w:bCs/>
          <w:color w:val="0D0D0D" w:themeColor="text1" w:themeTint="F2"/>
          <w:sz w:val="24"/>
          <w:szCs w:val="24"/>
          <w:lang w:val="ro-MD"/>
        </w:rPr>
        <w:t>după</w:t>
      </w:r>
      <w:proofErr w:type="spellEnd"/>
      <w:r w:rsidRPr="00066F71">
        <w:rPr>
          <w:bCs/>
          <w:color w:val="0D0D0D" w:themeColor="text1" w:themeTint="F2"/>
          <w:sz w:val="24"/>
          <w:szCs w:val="24"/>
          <w:lang w:val="ro-MD"/>
        </w:rPr>
        <w:t xml:space="preserve"> cum urmează:</w:t>
      </w:r>
    </w:p>
    <w:p w:rsidR="00066F71" w:rsidRPr="00066F71" w:rsidRDefault="00066F71" w:rsidP="00066F71">
      <w:pPr>
        <w:spacing w:line="276" w:lineRule="auto"/>
        <w:rPr>
          <w:bCs/>
          <w:color w:val="0D0D0D" w:themeColor="text1" w:themeTint="F2"/>
          <w:sz w:val="24"/>
          <w:szCs w:val="24"/>
          <w:lang w:val="ro-MD"/>
        </w:rPr>
      </w:pPr>
      <w:r w:rsidRPr="00066F71">
        <w:rPr>
          <w:bCs/>
          <w:color w:val="0D0D0D" w:themeColor="text1" w:themeTint="F2"/>
          <w:sz w:val="24"/>
          <w:szCs w:val="24"/>
          <w:lang w:val="ro-MD"/>
        </w:rPr>
        <w:t>la punctul 52:</w:t>
      </w:r>
    </w:p>
    <w:p w:rsidR="00066F71" w:rsidRPr="00066F71" w:rsidRDefault="00066F71" w:rsidP="00066F71">
      <w:pPr>
        <w:spacing w:line="276" w:lineRule="auto"/>
        <w:ind w:left="567" w:hanging="425"/>
        <w:rPr>
          <w:bCs/>
          <w:color w:val="0D0D0D" w:themeColor="text1" w:themeTint="F2"/>
          <w:sz w:val="24"/>
          <w:szCs w:val="24"/>
          <w:lang w:val="ro-MD"/>
        </w:rPr>
      </w:pPr>
      <w:r w:rsidRPr="00066F71">
        <w:rPr>
          <w:bCs/>
          <w:color w:val="0D0D0D" w:themeColor="text1" w:themeTint="F2"/>
          <w:sz w:val="24"/>
          <w:szCs w:val="24"/>
          <w:lang w:val="ro-MD"/>
        </w:rPr>
        <w:t>1.1. la alineatul 4) litera l), sintagma „Diplomei de bacalaurea</w:t>
      </w:r>
      <w:r w:rsidRPr="000074E9">
        <w:rPr>
          <w:bCs/>
          <w:color w:val="0D0D0D" w:themeColor="text1" w:themeTint="F2"/>
          <w:sz w:val="24"/>
          <w:szCs w:val="24"/>
          <w:lang w:val="ro-MD"/>
        </w:rPr>
        <w:t>t</w:t>
      </w:r>
      <w:r w:rsidR="0054277C" w:rsidRPr="000074E9">
        <w:rPr>
          <w:bCs/>
          <w:color w:val="0D0D0D" w:themeColor="text1" w:themeTint="F2"/>
          <w:sz w:val="24"/>
          <w:szCs w:val="24"/>
          <w:lang w:val="ro-MD"/>
        </w:rPr>
        <w:t>/Diplomei de studii profesionale</w:t>
      </w:r>
      <w:r w:rsidRPr="000074E9">
        <w:rPr>
          <w:bCs/>
          <w:color w:val="0D0D0D" w:themeColor="text1" w:themeTint="F2"/>
          <w:sz w:val="24"/>
          <w:szCs w:val="24"/>
          <w:lang w:val="ro-MD"/>
        </w:rPr>
        <w:t>” s</w:t>
      </w:r>
      <w:bookmarkStart w:id="0" w:name="_GoBack"/>
      <w:bookmarkEnd w:id="0"/>
      <w:r w:rsidRPr="00066F71">
        <w:rPr>
          <w:bCs/>
          <w:color w:val="0D0D0D" w:themeColor="text1" w:themeTint="F2"/>
          <w:sz w:val="24"/>
          <w:szCs w:val="24"/>
          <w:lang w:val="ro-MD"/>
        </w:rPr>
        <w:t>e substituie cu textul „Certificatului de studii liceale</w:t>
      </w:r>
      <w:r w:rsidR="00813184">
        <w:rPr>
          <w:bCs/>
          <w:color w:val="0D0D0D" w:themeColor="text1" w:themeTint="F2"/>
          <w:sz w:val="24"/>
          <w:szCs w:val="24"/>
          <w:lang w:val="ro-MD"/>
        </w:rPr>
        <w:t>/</w:t>
      </w:r>
      <w:r w:rsidRPr="00066F71">
        <w:rPr>
          <w:bCs/>
          <w:color w:val="0D0D0D" w:themeColor="text1" w:themeTint="F2"/>
          <w:sz w:val="24"/>
          <w:szCs w:val="24"/>
          <w:lang w:val="ro-MD"/>
        </w:rPr>
        <w:t>”;</w:t>
      </w:r>
    </w:p>
    <w:p w:rsidR="00066F71" w:rsidRPr="00066F71" w:rsidRDefault="00066F71" w:rsidP="00066F71">
      <w:pPr>
        <w:spacing w:line="276" w:lineRule="auto"/>
        <w:ind w:left="567" w:hanging="425"/>
        <w:rPr>
          <w:bCs/>
          <w:color w:val="0D0D0D" w:themeColor="text1" w:themeTint="F2"/>
          <w:sz w:val="24"/>
          <w:szCs w:val="24"/>
          <w:lang w:val="ro-MD"/>
        </w:rPr>
      </w:pPr>
      <w:r w:rsidRPr="00066F71">
        <w:rPr>
          <w:bCs/>
          <w:color w:val="0D0D0D" w:themeColor="text1" w:themeTint="F2"/>
          <w:sz w:val="24"/>
          <w:szCs w:val="24"/>
          <w:lang w:val="ro-MD"/>
        </w:rPr>
        <w:t>1.2. la alineatul 5) litera g), sintagma „</w:t>
      </w:r>
      <w:bookmarkStart w:id="1" w:name="_Hlk192679191"/>
      <w:r w:rsidRPr="00066F71">
        <w:rPr>
          <w:bCs/>
          <w:color w:val="0D0D0D" w:themeColor="text1" w:themeTint="F2"/>
          <w:sz w:val="24"/>
          <w:szCs w:val="24"/>
          <w:lang w:val="ro-MD"/>
        </w:rPr>
        <w:t>Diplomei de studii profesionale</w:t>
      </w:r>
      <w:bookmarkEnd w:id="1"/>
      <w:r w:rsidRPr="00066F71">
        <w:rPr>
          <w:bCs/>
          <w:color w:val="0D0D0D" w:themeColor="text1" w:themeTint="F2"/>
          <w:sz w:val="24"/>
          <w:szCs w:val="24"/>
          <w:lang w:val="ro-MD"/>
        </w:rPr>
        <w:t>” se substituie cu textul „Diplomei de bacalaureat/Diplomei de studii profesionale/”;</w:t>
      </w:r>
    </w:p>
    <w:p w:rsidR="00066F71" w:rsidRPr="00066F71" w:rsidRDefault="00066F71" w:rsidP="00813184">
      <w:pPr>
        <w:spacing w:after="120" w:line="276" w:lineRule="auto"/>
        <w:ind w:left="576" w:hanging="432"/>
        <w:rPr>
          <w:bCs/>
          <w:color w:val="0D0D0D" w:themeColor="text1" w:themeTint="F2"/>
          <w:sz w:val="24"/>
          <w:szCs w:val="24"/>
          <w:lang w:val="ro-MD"/>
        </w:rPr>
      </w:pPr>
      <w:r w:rsidRPr="00066F71">
        <w:rPr>
          <w:bCs/>
          <w:color w:val="0D0D0D" w:themeColor="text1" w:themeTint="F2"/>
          <w:sz w:val="24"/>
          <w:szCs w:val="24"/>
          <w:lang w:val="ro-MD"/>
        </w:rPr>
        <w:t>1.3. la alineatul 6) litera f), sintagma „Diplomei de studii superioare de licență” se substituie cu textul „Diplomei de bacalaureat/Diplomei de studii profesionale/”</w:t>
      </w:r>
      <w:r w:rsidR="00813184">
        <w:rPr>
          <w:bCs/>
          <w:color w:val="0D0D0D" w:themeColor="text1" w:themeTint="F2"/>
          <w:sz w:val="24"/>
          <w:szCs w:val="24"/>
          <w:lang w:val="ro-MD"/>
        </w:rPr>
        <w:t>.</w:t>
      </w:r>
      <w:r w:rsidRPr="00066F71">
        <w:rPr>
          <w:bCs/>
          <w:color w:val="0D0D0D" w:themeColor="text1" w:themeTint="F2"/>
          <w:sz w:val="24"/>
          <w:szCs w:val="24"/>
          <w:lang w:val="ro-MD"/>
        </w:rPr>
        <w:t xml:space="preserve"> </w:t>
      </w:r>
    </w:p>
    <w:p w:rsidR="00066F71" w:rsidRPr="00066F71" w:rsidRDefault="00066F71" w:rsidP="00813184">
      <w:pPr>
        <w:spacing w:line="276" w:lineRule="auto"/>
        <w:ind w:right="36" w:firstLine="630"/>
        <w:rPr>
          <w:bCs/>
          <w:color w:val="0D0D0D" w:themeColor="text1" w:themeTint="F2"/>
          <w:sz w:val="24"/>
          <w:szCs w:val="24"/>
          <w:lang w:val="ro-MD"/>
        </w:rPr>
      </w:pPr>
      <w:r w:rsidRPr="00066F71">
        <w:rPr>
          <w:bCs/>
          <w:color w:val="0D0D0D" w:themeColor="text1" w:themeTint="F2"/>
          <w:sz w:val="24"/>
          <w:szCs w:val="24"/>
          <w:lang w:val="ro-MD"/>
        </w:rPr>
        <w:t xml:space="preserve">2. Anexa 3 la Hotărârea Guvernului nr.330/2023, </w:t>
      </w:r>
      <w:r w:rsidRPr="00066F71">
        <w:rPr>
          <w:color w:val="0D0D0D" w:themeColor="text1" w:themeTint="F2"/>
          <w:sz w:val="24"/>
          <w:szCs w:val="24"/>
          <w:lang w:val="ro-MD"/>
        </w:rPr>
        <w:t>Corespondența dintre actele de studii și de formare profesională eliberate în sistemul național de învățământ, inclusiv până în anul 1991, nivelurile Clasificării Internaționale Standard a Educației, nivelurile C</w:t>
      </w:r>
      <w:r w:rsidRPr="00066F71">
        <w:rPr>
          <w:rFonts w:eastAsia="SimSun"/>
          <w:color w:val="0D0D0D" w:themeColor="text1" w:themeTint="F2"/>
          <w:sz w:val="24"/>
          <w:szCs w:val="24"/>
          <w:lang w:val="ro-MD" w:eastAsia="zh-CN"/>
        </w:rPr>
        <w:t>adrului Național al Calificărilor și</w:t>
      </w:r>
      <w:r w:rsidRPr="00066F71">
        <w:rPr>
          <w:color w:val="0D0D0D" w:themeColor="text1" w:themeTint="F2"/>
          <w:sz w:val="24"/>
          <w:szCs w:val="24"/>
          <w:lang w:val="ro-MD"/>
        </w:rPr>
        <w:t xml:space="preserve"> nivelurile de referință ale Cadrului European al Calificărilor,</w:t>
      </w:r>
      <w:r w:rsidRPr="00066F71">
        <w:rPr>
          <w:bCs/>
          <w:color w:val="0D0D0D" w:themeColor="text1" w:themeTint="F2"/>
          <w:sz w:val="24"/>
          <w:szCs w:val="24"/>
          <w:lang w:val="ro-MD"/>
        </w:rPr>
        <w:t xml:space="preserve"> se modifică după cum urmează:</w:t>
      </w:r>
    </w:p>
    <w:p w:rsidR="00066F71" w:rsidRPr="00066F71" w:rsidRDefault="00066F71" w:rsidP="00066F71">
      <w:pPr>
        <w:spacing w:line="276" w:lineRule="auto"/>
        <w:ind w:right="36"/>
        <w:rPr>
          <w:bCs/>
          <w:color w:val="0D0D0D" w:themeColor="text1" w:themeTint="F2"/>
          <w:sz w:val="24"/>
          <w:szCs w:val="24"/>
          <w:lang w:val="ro-MD"/>
        </w:rPr>
      </w:pPr>
      <w:r w:rsidRPr="00066F71">
        <w:rPr>
          <w:bCs/>
          <w:color w:val="0D0D0D" w:themeColor="text1" w:themeTint="F2"/>
          <w:sz w:val="24"/>
          <w:szCs w:val="24"/>
          <w:lang w:val="ro-MD"/>
        </w:rPr>
        <w:t>în tabel:</w:t>
      </w:r>
    </w:p>
    <w:p w:rsidR="00066F71" w:rsidRPr="00066F71" w:rsidRDefault="00066F71" w:rsidP="00066F71">
      <w:pPr>
        <w:spacing w:line="276" w:lineRule="auto"/>
        <w:ind w:left="567" w:right="36" w:hanging="425"/>
        <w:rPr>
          <w:bCs/>
          <w:color w:val="0D0D0D" w:themeColor="text1" w:themeTint="F2"/>
          <w:sz w:val="24"/>
          <w:szCs w:val="24"/>
          <w:lang w:val="ro-MD"/>
        </w:rPr>
      </w:pPr>
      <w:r w:rsidRPr="00066F71">
        <w:rPr>
          <w:bCs/>
          <w:color w:val="0D0D0D" w:themeColor="text1" w:themeTint="F2"/>
          <w:sz w:val="24"/>
          <w:szCs w:val="24"/>
          <w:lang w:val="ro-MD"/>
        </w:rPr>
        <w:t xml:space="preserve">2.1. sintagma „Nivelul 4. ÎNVĂȚĂMÂNT PROFESIONAL TEHNIC POSTSECUNDAR” se substituie cu textul „Nivelul </w:t>
      </w:r>
      <w:r w:rsidRPr="00066F71">
        <w:rPr>
          <w:color w:val="0D0D0D" w:themeColor="text1" w:themeTint="F2"/>
          <w:sz w:val="24"/>
          <w:szCs w:val="24"/>
          <w:lang w:val="ro-MD"/>
        </w:rPr>
        <w:t>4</w:t>
      </w:r>
      <w:r w:rsidRPr="00066F71">
        <w:rPr>
          <w:color w:val="0D0D0D" w:themeColor="text1" w:themeTint="F2"/>
          <w:sz w:val="24"/>
          <w:szCs w:val="24"/>
          <w:vertAlign w:val="superscript"/>
          <w:lang w:val="ro-MD"/>
        </w:rPr>
        <w:t>2</w:t>
      </w:r>
      <w:r w:rsidRPr="00066F71">
        <w:rPr>
          <w:bCs/>
          <w:color w:val="0D0D0D" w:themeColor="text1" w:themeTint="F2"/>
          <w:sz w:val="24"/>
          <w:szCs w:val="24"/>
          <w:lang w:val="ro-MD"/>
        </w:rPr>
        <w:t>. ÎNVĂȚĂMÂNT PROFESIONAL TEHNIC POSTSECUNDAR”;</w:t>
      </w:r>
    </w:p>
    <w:p w:rsidR="00066F71" w:rsidRPr="00066F71" w:rsidRDefault="00066F71" w:rsidP="00066F71">
      <w:pPr>
        <w:spacing w:line="276" w:lineRule="auto"/>
        <w:ind w:left="567" w:right="36" w:hanging="425"/>
        <w:rPr>
          <w:bCs/>
          <w:color w:val="0D0D0D" w:themeColor="text1" w:themeTint="F2"/>
          <w:sz w:val="24"/>
          <w:szCs w:val="24"/>
          <w:lang w:val="ro-MD"/>
        </w:rPr>
      </w:pPr>
      <w:r w:rsidRPr="00066F71">
        <w:rPr>
          <w:bCs/>
          <w:color w:val="0D0D0D" w:themeColor="text1" w:themeTint="F2"/>
          <w:sz w:val="24"/>
          <w:szCs w:val="24"/>
          <w:lang w:val="ro-MD"/>
        </w:rPr>
        <w:t>2.2. cuvântul „PTP” se substituie cu cuvântul „PTP</w:t>
      </w:r>
      <w:r w:rsidRPr="00066F71">
        <w:rPr>
          <w:bCs/>
          <w:color w:val="0D0D0D" w:themeColor="text1" w:themeTint="F2"/>
          <w:sz w:val="24"/>
          <w:szCs w:val="24"/>
          <w:vertAlign w:val="superscript"/>
          <w:lang w:val="ro-MD"/>
        </w:rPr>
        <w:t>3</w:t>
      </w:r>
      <w:r w:rsidRPr="00066F71">
        <w:rPr>
          <w:bCs/>
          <w:color w:val="0D0D0D" w:themeColor="text1" w:themeTint="F2"/>
          <w:sz w:val="24"/>
          <w:szCs w:val="24"/>
          <w:lang w:val="ro-MD"/>
        </w:rPr>
        <w:t>”;</w:t>
      </w:r>
    </w:p>
    <w:p w:rsidR="00066F71" w:rsidRPr="00066F71" w:rsidRDefault="00066F71" w:rsidP="00066F71">
      <w:pPr>
        <w:spacing w:line="276" w:lineRule="auto"/>
        <w:ind w:left="567" w:right="36" w:hanging="425"/>
        <w:rPr>
          <w:bCs/>
          <w:color w:val="0D0D0D" w:themeColor="text1" w:themeTint="F2"/>
          <w:sz w:val="24"/>
          <w:szCs w:val="24"/>
          <w:lang w:val="ro-MD"/>
        </w:rPr>
      </w:pPr>
      <w:r w:rsidRPr="00066F71">
        <w:rPr>
          <w:bCs/>
          <w:color w:val="0D0D0D" w:themeColor="text1" w:themeTint="F2"/>
          <w:sz w:val="24"/>
          <w:szCs w:val="24"/>
          <w:lang w:val="ro-MD"/>
        </w:rPr>
        <w:t>2.3. sintagma „Nivelul 5</w:t>
      </w:r>
      <w:r w:rsidRPr="00066F71">
        <w:rPr>
          <w:bCs/>
          <w:color w:val="0D0D0D" w:themeColor="text1" w:themeTint="F2"/>
          <w:sz w:val="24"/>
          <w:szCs w:val="24"/>
          <w:vertAlign w:val="superscript"/>
          <w:lang w:val="ro-MD"/>
        </w:rPr>
        <w:t>2</w:t>
      </w:r>
      <w:r w:rsidRPr="00066F71">
        <w:rPr>
          <w:bCs/>
          <w:color w:val="0D0D0D" w:themeColor="text1" w:themeTint="F2"/>
          <w:sz w:val="24"/>
          <w:szCs w:val="24"/>
          <w:lang w:val="ro-MD"/>
        </w:rPr>
        <w:t>. ÎNVĂȚĂMÂNTUL PROFESIONAL TEHNIC POSTSECUNDAR NONTERŢIAR” se substituie cu textul „Nivelul 5</w:t>
      </w:r>
      <w:r w:rsidRPr="00066F71">
        <w:rPr>
          <w:bCs/>
          <w:color w:val="0D0D0D" w:themeColor="text1" w:themeTint="F2"/>
          <w:sz w:val="24"/>
          <w:szCs w:val="24"/>
          <w:vertAlign w:val="superscript"/>
          <w:lang w:val="ro-MD"/>
        </w:rPr>
        <w:t>4</w:t>
      </w:r>
      <w:r w:rsidRPr="00066F71">
        <w:rPr>
          <w:bCs/>
          <w:color w:val="0D0D0D" w:themeColor="text1" w:themeTint="F2"/>
          <w:sz w:val="24"/>
          <w:szCs w:val="24"/>
          <w:lang w:val="ro-MD"/>
        </w:rPr>
        <w:t>. ÎNVĂȚĂMÂNTUL PROFESIONAL TEHNIC POSTSECUNDAR NONTERŢIAR”;</w:t>
      </w:r>
    </w:p>
    <w:p w:rsidR="00066F71" w:rsidRPr="00066F71" w:rsidRDefault="00066F71" w:rsidP="00066F71">
      <w:pPr>
        <w:tabs>
          <w:tab w:val="left" w:pos="2268"/>
        </w:tabs>
        <w:spacing w:line="276" w:lineRule="auto"/>
        <w:ind w:right="-28"/>
        <w:rPr>
          <w:color w:val="0D0D0D" w:themeColor="text1" w:themeTint="F2"/>
          <w:sz w:val="24"/>
          <w:szCs w:val="24"/>
          <w:lang w:val="ro-MD"/>
        </w:rPr>
      </w:pPr>
      <w:r w:rsidRPr="00066F71">
        <w:rPr>
          <w:color w:val="0D0D0D" w:themeColor="text1" w:themeTint="F2"/>
          <w:sz w:val="24"/>
          <w:szCs w:val="24"/>
          <w:lang w:val="ro-MD"/>
        </w:rPr>
        <w:t>după tabel:</w:t>
      </w:r>
    </w:p>
    <w:p w:rsidR="00066F71" w:rsidRPr="00066F71" w:rsidRDefault="00066F71" w:rsidP="00066F71">
      <w:pPr>
        <w:tabs>
          <w:tab w:val="left" w:pos="2268"/>
        </w:tabs>
        <w:spacing w:line="276" w:lineRule="auto"/>
        <w:ind w:left="567" w:right="-28" w:hanging="425"/>
        <w:rPr>
          <w:color w:val="0D0D0D" w:themeColor="text1" w:themeTint="F2"/>
          <w:sz w:val="24"/>
          <w:szCs w:val="24"/>
          <w:lang w:val="ro-MD"/>
        </w:rPr>
      </w:pPr>
      <w:r w:rsidRPr="00066F71">
        <w:rPr>
          <w:color w:val="0D0D0D" w:themeColor="text1" w:themeTint="F2"/>
          <w:sz w:val="24"/>
          <w:szCs w:val="24"/>
          <w:lang w:val="ro-MD"/>
        </w:rPr>
        <w:t>2.4. sintagma „</w:t>
      </w:r>
      <w:r w:rsidRPr="00066F71">
        <w:rPr>
          <w:color w:val="0D0D0D" w:themeColor="text1" w:themeTint="F2"/>
          <w:sz w:val="24"/>
          <w:szCs w:val="24"/>
          <w:vertAlign w:val="superscript"/>
          <w:lang w:val="ro-MD"/>
        </w:rPr>
        <w:t>2</w:t>
      </w:r>
      <w:r w:rsidRPr="00066F71">
        <w:rPr>
          <w:color w:val="0D0D0D" w:themeColor="text1" w:themeTint="F2"/>
          <w:sz w:val="24"/>
          <w:szCs w:val="24"/>
          <w:lang w:val="ro-MD"/>
        </w:rPr>
        <w:t>Corespunde parțial nivelului 5 EQF” se substituie cu textul  „</w:t>
      </w:r>
      <w:r w:rsidRPr="00066F71">
        <w:rPr>
          <w:bCs/>
          <w:color w:val="0D0D0D" w:themeColor="text1" w:themeTint="F2"/>
          <w:sz w:val="24"/>
          <w:szCs w:val="24"/>
          <w:vertAlign w:val="superscript"/>
          <w:lang w:val="ro-MD"/>
        </w:rPr>
        <w:t>2</w:t>
      </w:r>
      <w:r w:rsidRPr="00066F71">
        <w:rPr>
          <w:color w:val="0D0D0D" w:themeColor="text1" w:themeTint="F2"/>
          <w:sz w:val="24"/>
          <w:szCs w:val="24"/>
          <w:lang w:val="ro-MD"/>
        </w:rPr>
        <w:t xml:space="preserve">Actele de studii și calificările din domeniul educației, obținute în sistemul național de învățământ profesional tehnic </w:t>
      </w:r>
      <w:proofErr w:type="spellStart"/>
      <w:r w:rsidRPr="00066F71">
        <w:rPr>
          <w:color w:val="0D0D0D" w:themeColor="text1" w:themeTint="F2"/>
          <w:sz w:val="24"/>
          <w:szCs w:val="24"/>
          <w:lang w:val="ro-MD"/>
        </w:rPr>
        <w:lastRenderedPageBreak/>
        <w:t>postsecundar</w:t>
      </w:r>
      <w:proofErr w:type="spellEnd"/>
      <w:r w:rsidRPr="00066F71">
        <w:rPr>
          <w:color w:val="0D0D0D" w:themeColor="text1" w:themeTint="F2"/>
          <w:sz w:val="24"/>
          <w:szCs w:val="24"/>
          <w:lang w:val="ro-MD"/>
        </w:rPr>
        <w:t xml:space="preserve">, până la aprobarea Hotărârii Guvernului nr.1016/2017 cu privire la aprobarea Cadrului </w:t>
      </w:r>
      <w:proofErr w:type="spellStart"/>
      <w:r w:rsidRPr="00066F71">
        <w:rPr>
          <w:color w:val="0D0D0D" w:themeColor="text1" w:themeTint="F2"/>
          <w:sz w:val="24"/>
          <w:szCs w:val="24"/>
          <w:lang w:val="ro-MD"/>
        </w:rPr>
        <w:t>Naţional</w:t>
      </w:r>
      <w:proofErr w:type="spellEnd"/>
      <w:r w:rsidRPr="00066F71">
        <w:rPr>
          <w:color w:val="0D0D0D" w:themeColor="text1" w:themeTint="F2"/>
          <w:sz w:val="24"/>
          <w:szCs w:val="24"/>
          <w:lang w:val="ro-MD"/>
        </w:rPr>
        <w:t xml:space="preserve"> al Calificărilor din Republica Moldova, conform prevederilor cadrului normativ la momentul admiterii, se echivalează în drepturi cu actele de studii de nivel 5 ISCED și, conform art. 132 din Codul educației nr.152/2014, asigură titularului dreptul de a activa conform calificării atribuite”;</w:t>
      </w:r>
    </w:p>
    <w:p w:rsidR="00066F71" w:rsidRPr="00066F71" w:rsidRDefault="00066F71" w:rsidP="00066F71">
      <w:pPr>
        <w:tabs>
          <w:tab w:val="left" w:pos="2268"/>
        </w:tabs>
        <w:spacing w:line="276" w:lineRule="auto"/>
        <w:ind w:left="567" w:right="-28" w:hanging="425"/>
        <w:rPr>
          <w:color w:val="0D0D0D" w:themeColor="text1" w:themeTint="F2"/>
          <w:sz w:val="24"/>
          <w:szCs w:val="24"/>
          <w:lang w:val="ro-MD"/>
        </w:rPr>
      </w:pPr>
      <w:r w:rsidRPr="00066F71">
        <w:rPr>
          <w:color w:val="0D0D0D" w:themeColor="text1" w:themeTint="F2"/>
          <w:sz w:val="24"/>
          <w:szCs w:val="24"/>
          <w:lang w:val="ro-MD"/>
        </w:rPr>
        <w:t>2.5. din rând nou se completează cu textul „</w:t>
      </w:r>
      <w:r w:rsidRPr="00066F71">
        <w:rPr>
          <w:color w:val="0D0D0D" w:themeColor="text1" w:themeTint="F2"/>
          <w:sz w:val="24"/>
          <w:szCs w:val="24"/>
          <w:vertAlign w:val="superscript"/>
          <w:lang w:val="ro-MD"/>
        </w:rPr>
        <w:t>3</w:t>
      </w:r>
      <w:r w:rsidRPr="00066F71">
        <w:rPr>
          <w:color w:val="0D0D0D" w:themeColor="text1" w:themeTint="F2"/>
          <w:sz w:val="24"/>
          <w:szCs w:val="24"/>
          <w:lang w:val="ro-MD"/>
        </w:rPr>
        <w:t xml:space="preserve">Actele de studii cu Seria PTP, care atestă calificările Învățător, Învățător în învățământul primar, Educator, Educator în învățământul preșcolar, Educator în instituții preșcolare și Conducător muzical, eliberate în sistemul național de învățământ profesional tehnic </w:t>
      </w:r>
      <w:proofErr w:type="spellStart"/>
      <w:r w:rsidRPr="00066F71">
        <w:rPr>
          <w:color w:val="0D0D0D" w:themeColor="text1" w:themeTint="F2"/>
          <w:sz w:val="24"/>
          <w:szCs w:val="24"/>
          <w:lang w:val="ro-MD"/>
        </w:rPr>
        <w:t>postsecundar</w:t>
      </w:r>
      <w:proofErr w:type="spellEnd"/>
      <w:r w:rsidRPr="00066F71">
        <w:rPr>
          <w:color w:val="0D0D0D" w:themeColor="text1" w:themeTint="F2"/>
          <w:sz w:val="24"/>
          <w:szCs w:val="24"/>
          <w:lang w:val="ro-MD"/>
        </w:rPr>
        <w:t>, până în anul 2025 se echivalează în drepturi cu actele de studii de nivel 5 ISCED și, conform art. 132 din Codul educației nr.152/2014, asigură titularului dreptul de a activa conform calificării atribuite.</w:t>
      </w:r>
    </w:p>
    <w:p w:rsidR="00066F71" w:rsidRPr="00066F71" w:rsidRDefault="00066F71" w:rsidP="00066F71">
      <w:pPr>
        <w:tabs>
          <w:tab w:val="left" w:pos="2268"/>
        </w:tabs>
        <w:spacing w:line="276" w:lineRule="auto"/>
        <w:ind w:left="567" w:right="-28"/>
        <w:rPr>
          <w:color w:val="0D0D0D" w:themeColor="text1" w:themeTint="F2"/>
          <w:sz w:val="24"/>
          <w:szCs w:val="24"/>
          <w:lang w:val="ro-MD"/>
        </w:rPr>
      </w:pPr>
      <w:r w:rsidRPr="00066F71">
        <w:rPr>
          <w:color w:val="0D0D0D" w:themeColor="text1" w:themeTint="F2"/>
          <w:sz w:val="24"/>
          <w:szCs w:val="24"/>
          <w:vertAlign w:val="superscript"/>
          <w:lang w:val="ro-MD"/>
        </w:rPr>
        <w:t xml:space="preserve">4 </w:t>
      </w:r>
      <w:r w:rsidRPr="00066F71">
        <w:rPr>
          <w:color w:val="0D0D0D" w:themeColor="text1" w:themeTint="F2"/>
          <w:sz w:val="24"/>
          <w:szCs w:val="24"/>
          <w:lang w:val="ro-MD"/>
        </w:rPr>
        <w:t>Corespunde parțial nivelului 5 EQF.”</w:t>
      </w:r>
    </w:p>
    <w:p w:rsidR="00066F71" w:rsidRPr="00066F71" w:rsidRDefault="00066F71" w:rsidP="00066F71">
      <w:pPr>
        <w:spacing w:line="276" w:lineRule="auto"/>
        <w:ind w:right="36"/>
        <w:rPr>
          <w:bCs/>
          <w:color w:val="0D0D0D" w:themeColor="text1" w:themeTint="F2"/>
          <w:sz w:val="24"/>
          <w:szCs w:val="24"/>
          <w:lang w:val="ro-MD"/>
        </w:rPr>
      </w:pPr>
    </w:p>
    <w:p w:rsidR="00066F71" w:rsidRDefault="00066F71" w:rsidP="00066F71">
      <w:pPr>
        <w:rPr>
          <w:b/>
          <w:color w:val="0D0D0D" w:themeColor="text1" w:themeTint="F2"/>
          <w:sz w:val="24"/>
          <w:szCs w:val="24"/>
          <w:lang w:val="ro-MD"/>
        </w:rPr>
      </w:pPr>
    </w:p>
    <w:p w:rsidR="00066F71" w:rsidRPr="00066F71" w:rsidRDefault="00066F71" w:rsidP="00066F71">
      <w:pPr>
        <w:rPr>
          <w:b/>
          <w:color w:val="0D0D0D" w:themeColor="text1" w:themeTint="F2"/>
          <w:sz w:val="24"/>
          <w:szCs w:val="24"/>
          <w:lang w:val="ro-MD"/>
        </w:rPr>
      </w:pPr>
      <w:r w:rsidRPr="00066F71">
        <w:rPr>
          <w:b/>
          <w:color w:val="0D0D0D" w:themeColor="text1" w:themeTint="F2"/>
          <w:sz w:val="24"/>
          <w:szCs w:val="24"/>
          <w:lang w:val="ro-MD"/>
        </w:rPr>
        <w:t>PRIM - MINISTRU                                                               Dorin RECEAN</w:t>
      </w:r>
    </w:p>
    <w:p w:rsidR="00066F71" w:rsidRPr="00066F71" w:rsidRDefault="00066F71" w:rsidP="00066F71">
      <w:pPr>
        <w:rPr>
          <w:b/>
          <w:color w:val="0D0D0D" w:themeColor="text1" w:themeTint="F2"/>
          <w:sz w:val="24"/>
          <w:szCs w:val="24"/>
          <w:lang w:val="ro-MD"/>
        </w:rPr>
      </w:pPr>
    </w:p>
    <w:p w:rsidR="00066F71" w:rsidRDefault="00066F71" w:rsidP="00066F71">
      <w:pPr>
        <w:rPr>
          <w:color w:val="0D0D0D" w:themeColor="text1" w:themeTint="F2"/>
          <w:sz w:val="24"/>
          <w:szCs w:val="24"/>
          <w:lang w:val="ro-MD"/>
        </w:rPr>
      </w:pPr>
    </w:p>
    <w:p w:rsidR="00066F71" w:rsidRDefault="00066F71" w:rsidP="00066F71">
      <w:pPr>
        <w:rPr>
          <w:color w:val="0D0D0D" w:themeColor="text1" w:themeTint="F2"/>
          <w:sz w:val="24"/>
          <w:szCs w:val="24"/>
          <w:lang w:val="ro-MD"/>
        </w:rPr>
      </w:pPr>
    </w:p>
    <w:p w:rsidR="00066F71" w:rsidRPr="00066F71" w:rsidRDefault="00066F71" w:rsidP="00066F71">
      <w:pPr>
        <w:rPr>
          <w:color w:val="0D0D0D" w:themeColor="text1" w:themeTint="F2"/>
          <w:sz w:val="24"/>
          <w:szCs w:val="24"/>
          <w:lang w:val="ro-MD"/>
        </w:rPr>
      </w:pPr>
      <w:r w:rsidRPr="00066F71">
        <w:rPr>
          <w:color w:val="0D0D0D" w:themeColor="text1" w:themeTint="F2"/>
          <w:sz w:val="24"/>
          <w:szCs w:val="24"/>
          <w:lang w:val="ro-MD"/>
        </w:rPr>
        <w:t xml:space="preserve">Contrasemnează: </w:t>
      </w:r>
    </w:p>
    <w:p w:rsidR="00066F71" w:rsidRPr="00066F71" w:rsidRDefault="00066F71" w:rsidP="00066F71">
      <w:pPr>
        <w:rPr>
          <w:color w:val="0D0D0D" w:themeColor="text1" w:themeTint="F2"/>
          <w:sz w:val="24"/>
          <w:szCs w:val="24"/>
          <w:lang w:val="ro-MD"/>
        </w:rPr>
      </w:pPr>
      <w:r w:rsidRPr="00066F71">
        <w:rPr>
          <w:color w:val="0D0D0D" w:themeColor="text1" w:themeTint="F2"/>
          <w:sz w:val="24"/>
          <w:szCs w:val="24"/>
          <w:lang w:val="ro-MD"/>
        </w:rPr>
        <w:t>Ministrul Educației și Cercetării                                            Dan PERCIUN</w:t>
      </w:r>
    </w:p>
    <w:p w:rsidR="00066F71" w:rsidRPr="00066F71" w:rsidRDefault="00066F71" w:rsidP="00066F71">
      <w:pPr>
        <w:rPr>
          <w:color w:val="0D0D0D" w:themeColor="text1" w:themeTint="F2"/>
          <w:sz w:val="24"/>
          <w:szCs w:val="24"/>
          <w:lang w:val="ro-MD"/>
        </w:rPr>
      </w:pPr>
    </w:p>
    <w:p w:rsidR="00066F71" w:rsidRPr="00066F71" w:rsidRDefault="00066F71" w:rsidP="00066F71">
      <w:pPr>
        <w:rPr>
          <w:color w:val="0D0D0D" w:themeColor="text1" w:themeTint="F2"/>
          <w:sz w:val="24"/>
          <w:szCs w:val="24"/>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Default="00066F71" w:rsidP="00066F71">
      <w:pPr>
        <w:tabs>
          <w:tab w:val="left" w:pos="567"/>
        </w:tabs>
        <w:jc w:val="right"/>
        <w:rPr>
          <w:i/>
          <w:sz w:val="22"/>
          <w:szCs w:val="22"/>
          <w:lang w:val="ro-MD"/>
        </w:rPr>
      </w:pPr>
    </w:p>
    <w:p w:rsidR="00066F71" w:rsidRPr="00066F71" w:rsidRDefault="00066F71" w:rsidP="00066F71">
      <w:pPr>
        <w:tabs>
          <w:tab w:val="left" w:pos="567"/>
        </w:tabs>
        <w:ind w:firstLine="709"/>
        <w:rPr>
          <w:sz w:val="24"/>
          <w:szCs w:val="24"/>
          <w:lang w:eastAsia="ru-RU"/>
        </w:rPr>
      </w:pPr>
    </w:p>
    <w:p w:rsidR="00066F71" w:rsidRDefault="00066F71"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Default="00C7371F" w:rsidP="00066F71">
      <w:pPr>
        <w:tabs>
          <w:tab w:val="left" w:pos="567"/>
        </w:tabs>
        <w:ind w:firstLine="709"/>
        <w:rPr>
          <w:sz w:val="24"/>
          <w:szCs w:val="24"/>
          <w:lang w:eastAsia="ru-RU"/>
        </w:rPr>
      </w:pPr>
    </w:p>
    <w:p w:rsidR="00C7371F" w:rsidRPr="00066F71" w:rsidRDefault="00C7371F" w:rsidP="00066F71">
      <w:pPr>
        <w:tabs>
          <w:tab w:val="left" w:pos="567"/>
        </w:tabs>
        <w:ind w:firstLine="709"/>
        <w:rPr>
          <w:sz w:val="24"/>
          <w:szCs w:val="24"/>
          <w:lang w:eastAsia="ru-RU"/>
        </w:rPr>
      </w:pPr>
    </w:p>
    <w:p w:rsidR="00066F71" w:rsidRDefault="00066F71" w:rsidP="00066F71">
      <w:pPr>
        <w:tabs>
          <w:tab w:val="left" w:pos="567"/>
        </w:tabs>
        <w:ind w:firstLine="0"/>
        <w:rPr>
          <w:sz w:val="24"/>
          <w:szCs w:val="24"/>
          <w:lang w:eastAsia="ru-RU"/>
        </w:rPr>
      </w:pPr>
    </w:p>
    <w:p w:rsidR="00766839" w:rsidRDefault="00766839" w:rsidP="00066F71">
      <w:pPr>
        <w:tabs>
          <w:tab w:val="left" w:pos="567"/>
        </w:tabs>
        <w:ind w:firstLine="0"/>
        <w:rPr>
          <w:sz w:val="24"/>
          <w:szCs w:val="24"/>
          <w:lang w:eastAsia="ru-RU"/>
        </w:rPr>
      </w:pPr>
    </w:p>
    <w:p w:rsidR="00766839" w:rsidRPr="00066F71" w:rsidRDefault="00766839" w:rsidP="00066F71">
      <w:pPr>
        <w:tabs>
          <w:tab w:val="left" w:pos="567"/>
        </w:tabs>
        <w:ind w:firstLine="0"/>
        <w:rPr>
          <w:sz w:val="24"/>
          <w:szCs w:val="24"/>
          <w:lang w:eastAsia="ru-RU"/>
        </w:rPr>
      </w:pPr>
    </w:p>
    <w:sectPr w:rsidR="00766839" w:rsidRPr="00066F71" w:rsidSect="00066F71">
      <w:pgSz w:w="12240" w:h="15840"/>
      <w:pgMar w:top="567" w:right="900" w:bottom="567"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slon">
    <w:altName w:val="Century Gothic"/>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BBCAABA2"/>
    <w:lvl w:ilvl="0">
      <w:start w:val="1"/>
      <w:numFmt w:val="decimal"/>
      <w:lvlText w:val="%1."/>
      <w:lvlJc w:val="left"/>
      <w:pPr>
        <w:ind w:left="1269" w:hanging="276"/>
      </w:pPr>
      <w:rPr>
        <w:rFonts w:ascii="Times New Roman" w:hAnsi="Times New Roman" w:cs="Times New Roman" w:hint="default"/>
        <w:b/>
        <w:bCs w:val="0"/>
        <w:w w:val="102"/>
        <w:sz w:val="24"/>
        <w:szCs w:val="24"/>
      </w:rPr>
    </w:lvl>
    <w:lvl w:ilvl="1">
      <w:numFmt w:val="bullet"/>
      <w:lvlText w:val="•"/>
      <w:lvlJc w:val="left"/>
      <w:pPr>
        <w:ind w:left="1141" w:hanging="276"/>
      </w:pPr>
    </w:lvl>
    <w:lvl w:ilvl="2">
      <w:numFmt w:val="bullet"/>
      <w:lvlText w:val="•"/>
      <w:lvlJc w:val="left"/>
      <w:pPr>
        <w:ind w:left="2173" w:hanging="276"/>
      </w:pPr>
    </w:lvl>
    <w:lvl w:ilvl="3">
      <w:numFmt w:val="bullet"/>
      <w:lvlText w:val="•"/>
      <w:lvlJc w:val="left"/>
      <w:pPr>
        <w:ind w:left="3204" w:hanging="276"/>
      </w:pPr>
    </w:lvl>
    <w:lvl w:ilvl="4">
      <w:numFmt w:val="bullet"/>
      <w:lvlText w:val="•"/>
      <w:lvlJc w:val="left"/>
      <w:pPr>
        <w:ind w:left="4236" w:hanging="276"/>
      </w:pPr>
    </w:lvl>
    <w:lvl w:ilvl="5">
      <w:numFmt w:val="bullet"/>
      <w:lvlText w:val="•"/>
      <w:lvlJc w:val="left"/>
      <w:pPr>
        <w:ind w:left="5268" w:hanging="276"/>
      </w:pPr>
    </w:lvl>
    <w:lvl w:ilvl="6">
      <w:numFmt w:val="bullet"/>
      <w:lvlText w:val="•"/>
      <w:lvlJc w:val="left"/>
      <w:pPr>
        <w:ind w:left="6299" w:hanging="276"/>
      </w:pPr>
    </w:lvl>
    <w:lvl w:ilvl="7">
      <w:numFmt w:val="bullet"/>
      <w:lvlText w:val="•"/>
      <w:lvlJc w:val="left"/>
      <w:pPr>
        <w:ind w:left="7331" w:hanging="276"/>
      </w:pPr>
    </w:lvl>
    <w:lvl w:ilvl="8">
      <w:numFmt w:val="bullet"/>
      <w:lvlText w:val="•"/>
      <w:lvlJc w:val="left"/>
      <w:pPr>
        <w:ind w:left="8362" w:hanging="276"/>
      </w:pPr>
    </w:lvl>
  </w:abstractNum>
  <w:abstractNum w:abstractNumId="1"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6441749"/>
    <w:multiLevelType w:val="hybridMultilevel"/>
    <w:tmpl w:val="5A6AE8CA"/>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1D188DAE">
      <w:start w:val="1"/>
      <w:numFmt w:val="lowerLetter"/>
      <w:lvlText w:val="%3)"/>
      <w:lvlJc w:val="left"/>
      <w:pPr>
        <w:ind w:left="3409" w:hanging="720"/>
      </w:pPr>
      <w:rPr>
        <w:rFonts w:ascii="Times New Roman" w:eastAsia="Times New Roman" w:hAnsi="Times New Roman" w:cs="Times New Roman"/>
        <w:b w:val="0"/>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1D84851"/>
    <w:multiLevelType w:val="hybridMultilevel"/>
    <w:tmpl w:val="BAFE49F8"/>
    <w:lvl w:ilvl="0" w:tplc="1F0090E2">
      <w:start w:val="1"/>
      <w:numFmt w:val="upperRoman"/>
      <w:lvlText w:val="%1."/>
      <w:lvlJc w:val="left"/>
      <w:pPr>
        <w:ind w:left="1713" w:hanging="720"/>
      </w:pPr>
      <w:rPr>
        <w:rFonts w:hint="default"/>
        <w:w w:val="11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26512949"/>
    <w:multiLevelType w:val="hybridMultilevel"/>
    <w:tmpl w:val="C79654B8"/>
    <w:lvl w:ilvl="0" w:tplc="9C863D36">
      <w:start w:val="1"/>
      <w:numFmt w:val="decimal"/>
      <w:lvlText w:val="%1)"/>
      <w:lvlJc w:val="left"/>
      <w:pPr>
        <w:ind w:left="1135" w:hanging="284"/>
      </w:pPr>
      <w:rPr>
        <w:rFonts w:asciiTheme="majorBidi" w:eastAsiaTheme="minorEastAsia" w:hAnsiTheme="majorBidi" w:cstheme="majorBidi"/>
        <w:b w:val="0"/>
        <w:bCs/>
        <w:i w:val="0"/>
        <w:w w:val="100"/>
        <w:sz w:val="24"/>
        <w:szCs w:val="24"/>
        <w:lang w:val="ro-RO"/>
      </w:rPr>
    </w:lvl>
    <w:lvl w:ilvl="1" w:tplc="717AF9A2">
      <w:start w:val="1"/>
      <w:numFmt w:val="bullet"/>
      <w:lvlText w:val="•"/>
      <w:lvlJc w:val="left"/>
      <w:pPr>
        <w:ind w:left="1056" w:hanging="284"/>
      </w:pPr>
      <w:rPr>
        <w:rFonts w:hint="default"/>
      </w:rPr>
    </w:lvl>
    <w:lvl w:ilvl="2" w:tplc="7C8A4DC4">
      <w:start w:val="1"/>
      <w:numFmt w:val="bullet"/>
      <w:lvlText w:val="•"/>
      <w:lvlJc w:val="left"/>
      <w:pPr>
        <w:ind w:left="1993" w:hanging="284"/>
      </w:pPr>
      <w:rPr>
        <w:rFonts w:hint="default"/>
      </w:rPr>
    </w:lvl>
    <w:lvl w:ilvl="3" w:tplc="BAA841C8">
      <w:start w:val="1"/>
      <w:numFmt w:val="bullet"/>
      <w:lvlText w:val="•"/>
      <w:lvlJc w:val="left"/>
      <w:pPr>
        <w:ind w:left="2930" w:hanging="284"/>
      </w:pPr>
      <w:rPr>
        <w:rFonts w:hint="default"/>
      </w:rPr>
    </w:lvl>
    <w:lvl w:ilvl="4" w:tplc="1B668DEC">
      <w:start w:val="1"/>
      <w:numFmt w:val="bullet"/>
      <w:lvlText w:val="•"/>
      <w:lvlJc w:val="left"/>
      <w:pPr>
        <w:ind w:left="3867" w:hanging="284"/>
      </w:pPr>
      <w:rPr>
        <w:rFonts w:hint="default"/>
      </w:rPr>
    </w:lvl>
    <w:lvl w:ilvl="5" w:tplc="06ECD3A8">
      <w:start w:val="1"/>
      <w:numFmt w:val="bullet"/>
      <w:lvlText w:val="•"/>
      <w:lvlJc w:val="left"/>
      <w:pPr>
        <w:ind w:left="4804" w:hanging="284"/>
      </w:pPr>
      <w:rPr>
        <w:rFonts w:hint="default"/>
      </w:rPr>
    </w:lvl>
    <w:lvl w:ilvl="6" w:tplc="81F0643A">
      <w:start w:val="1"/>
      <w:numFmt w:val="bullet"/>
      <w:lvlText w:val="•"/>
      <w:lvlJc w:val="left"/>
      <w:pPr>
        <w:ind w:left="5740" w:hanging="284"/>
      </w:pPr>
      <w:rPr>
        <w:rFonts w:hint="default"/>
      </w:rPr>
    </w:lvl>
    <w:lvl w:ilvl="7" w:tplc="A0EE33A0">
      <w:start w:val="1"/>
      <w:numFmt w:val="bullet"/>
      <w:lvlText w:val="•"/>
      <w:lvlJc w:val="left"/>
      <w:pPr>
        <w:ind w:left="6677" w:hanging="284"/>
      </w:pPr>
      <w:rPr>
        <w:rFonts w:hint="default"/>
      </w:rPr>
    </w:lvl>
    <w:lvl w:ilvl="8" w:tplc="03F40684">
      <w:start w:val="1"/>
      <w:numFmt w:val="bullet"/>
      <w:lvlText w:val="•"/>
      <w:lvlJc w:val="left"/>
      <w:pPr>
        <w:ind w:left="7614" w:hanging="284"/>
      </w:pPr>
      <w:rPr>
        <w:rFonts w:hint="default"/>
      </w:rPr>
    </w:lvl>
  </w:abstractNum>
  <w:abstractNum w:abstractNumId="5" w15:restartNumberingAfterBreak="0">
    <w:nsid w:val="267930AE"/>
    <w:multiLevelType w:val="hybridMultilevel"/>
    <w:tmpl w:val="F760E846"/>
    <w:lvl w:ilvl="0" w:tplc="C3B8DD3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2BD542BC"/>
    <w:multiLevelType w:val="hybridMultilevel"/>
    <w:tmpl w:val="CC184E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E4187"/>
    <w:multiLevelType w:val="hybridMultilevel"/>
    <w:tmpl w:val="CB9EFE3E"/>
    <w:lvl w:ilvl="0" w:tplc="106A226C">
      <w:start w:val="1"/>
      <w:numFmt w:val="lowerLetter"/>
      <w:lvlText w:val="%1)"/>
      <w:lvlJc w:val="left"/>
      <w:pPr>
        <w:ind w:left="1429" w:hanging="360"/>
      </w:pPr>
      <w:rPr>
        <w:rFonts w:hint="default"/>
        <w:b/>
      </w:rPr>
    </w:lvl>
    <w:lvl w:ilvl="1" w:tplc="04090017">
      <w:start w:val="1"/>
      <w:numFmt w:val="lowerLetter"/>
      <w:lvlText w:val="%2)"/>
      <w:lvlJc w:val="left"/>
      <w:pPr>
        <w:ind w:left="2149" w:hanging="360"/>
      </w:pPr>
    </w:lvl>
    <w:lvl w:ilvl="2" w:tplc="25E6605E">
      <w:start w:val="1"/>
      <w:numFmt w:val="lowerLetter"/>
      <w:lvlText w:val="%3)"/>
      <w:lvlJc w:val="left"/>
      <w:pPr>
        <w:ind w:left="3409" w:hanging="720"/>
      </w:pPr>
      <w:rPr>
        <w:rFonts w:hint="default"/>
        <w:sz w:val="24"/>
        <w:szCs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7FBE63AA"/>
    <w:multiLevelType w:val="hybridMultilevel"/>
    <w:tmpl w:val="73DC1F56"/>
    <w:lvl w:ilvl="0" w:tplc="04090017">
      <w:start w:val="1"/>
      <w:numFmt w:val="lowerLetter"/>
      <w:lvlText w:val="%1)"/>
      <w:lvlJc w:val="left"/>
      <w:pPr>
        <w:ind w:left="3049" w:hanging="360"/>
      </w:pPr>
    </w:lvl>
    <w:lvl w:ilvl="1" w:tplc="04090019" w:tentative="1">
      <w:start w:val="1"/>
      <w:numFmt w:val="lowerLetter"/>
      <w:lvlText w:val="%2."/>
      <w:lvlJc w:val="left"/>
      <w:pPr>
        <w:ind w:left="3769" w:hanging="360"/>
      </w:pPr>
    </w:lvl>
    <w:lvl w:ilvl="2" w:tplc="0409001B">
      <w:start w:val="1"/>
      <w:numFmt w:val="lowerRoman"/>
      <w:lvlText w:val="%3."/>
      <w:lvlJc w:val="right"/>
      <w:pPr>
        <w:ind w:left="4489" w:hanging="180"/>
      </w:pPr>
    </w:lvl>
    <w:lvl w:ilvl="3" w:tplc="0409000F" w:tentative="1">
      <w:start w:val="1"/>
      <w:numFmt w:val="decimal"/>
      <w:lvlText w:val="%4."/>
      <w:lvlJc w:val="left"/>
      <w:pPr>
        <w:ind w:left="5209" w:hanging="360"/>
      </w:pPr>
    </w:lvl>
    <w:lvl w:ilvl="4" w:tplc="04090019" w:tentative="1">
      <w:start w:val="1"/>
      <w:numFmt w:val="lowerLetter"/>
      <w:lvlText w:val="%5."/>
      <w:lvlJc w:val="left"/>
      <w:pPr>
        <w:ind w:left="5929" w:hanging="360"/>
      </w:pPr>
    </w:lvl>
    <w:lvl w:ilvl="5" w:tplc="0409001B" w:tentative="1">
      <w:start w:val="1"/>
      <w:numFmt w:val="lowerRoman"/>
      <w:lvlText w:val="%6."/>
      <w:lvlJc w:val="right"/>
      <w:pPr>
        <w:ind w:left="6649" w:hanging="180"/>
      </w:pPr>
    </w:lvl>
    <w:lvl w:ilvl="6" w:tplc="0409000F" w:tentative="1">
      <w:start w:val="1"/>
      <w:numFmt w:val="decimal"/>
      <w:lvlText w:val="%7."/>
      <w:lvlJc w:val="left"/>
      <w:pPr>
        <w:ind w:left="7369" w:hanging="360"/>
      </w:pPr>
    </w:lvl>
    <w:lvl w:ilvl="7" w:tplc="04090019" w:tentative="1">
      <w:start w:val="1"/>
      <w:numFmt w:val="lowerLetter"/>
      <w:lvlText w:val="%8."/>
      <w:lvlJc w:val="left"/>
      <w:pPr>
        <w:ind w:left="8089" w:hanging="360"/>
      </w:pPr>
    </w:lvl>
    <w:lvl w:ilvl="8" w:tplc="0409001B" w:tentative="1">
      <w:start w:val="1"/>
      <w:numFmt w:val="lowerRoman"/>
      <w:lvlText w:val="%9."/>
      <w:lvlJc w:val="right"/>
      <w:pPr>
        <w:ind w:left="8809" w:hanging="180"/>
      </w:pPr>
    </w:lvl>
  </w:abstractNum>
  <w:num w:numId="1">
    <w:abstractNumId w:val="0"/>
  </w:num>
  <w:num w:numId="2">
    <w:abstractNumId w:val="4"/>
  </w:num>
  <w:num w:numId="3">
    <w:abstractNumId w:val="1"/>
  </w:num>
  <w:num w:numId="4">
    <w:abstractNumId w:val="3"/>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71"/>
    <w:rsid w:val="000074E9"/>
    <w:rsid w:val="00040C00"/>
    <w:rsid w:val="00066F71"/>
    <w:rsid w:val="0054277C"/>
    <w:rsid w:val="00766839"/>
    <w:rsid w:val="00813184"/>
    <w:rsid w:val="009E17C3"/>
    <w:rsid w:val="00C7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5AAAB-5C0B-483A-8D2F-F6CFB210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71"/>
    <w:pPr>
      <w:spacing w:after="0" w:line="240" w:lineRule="auto"/>
      <w:ind w:firstLine="720"/>
      <w:jc w:val="both"/>
    </w:pPr>
    <w:rPr>
      <w:rFonts w:ascii="Times New Roman" w:eastAsia="Times New Roman" w:hAnsi="Times New Roman" w:cs="Times New Roman"/>
      <w:sz w:val="20"/>
      <w:szCs w:val="20"/>
      <w:lang w:val="ro-RO"/>
    </w:rPr>
  </w:style>
  <w:style w:type="paragraph" w:styleId="Heading4">
    <w:name w:val="heading 4"/>
    <w:basedOn w:val="Normal"/>
    <w:next w:val="Normal"/>
    <w:link w:val="Heading4Char"/>
    <w:qFormat/>
    <w:rsid w:val="00066F71"/>
    <w:pPr>
      <w:keepNext/>
      <w:jc w:val="center"/>
      <w:outlineLvl w:val="3"/>
    </w:pPr>
    <w:rPr>
      <w:rFonts w:ascii="$Caslon" w:hAnsi="$Caslon"/>
      <w:b/>
      <w:sz w:val="26"/>
    </w:rPr>
  </w:style>
  <w:style w:type="paragraph" w:styleId="Heading5">
    <w:name w:val="heading 5"/>
    <w:basedOn w:val="Normal"/>
    <w:next w:val="Normal"/>
    <w:link w:val="Heading5Char"/>
    <w:qFormat/>
    <w:rsid w:val="00066F71"/>
    <w:pPr>
      <w:keepNext/>
      <w:jc w:val="center"/>
      <w:outlineLvl w:val="4"/>
    </w:pPr>
    <w:rPr>
      <w:rFonts w:ascii="$Caslon" w:hAnsi="$Caslon"/>
      <w:sz w:val="24"/>
    </w:rPr>
  </w:style>
  <w:style w:type="paragraph" w:styleId="Heading8">
    <w:name w:val="heading 8"/>
    <w:basedOn w:val="Normal"/>
    <w:next w:val="Normal"/>
    <w:link w:val="Heading8Char"/>
    <w:qFormat/>
    <w:rsid w:val="00066F71"/>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66F71"/>
    <w:rPr>
      <w:rFonts w:ascii="$Caslon" w:eastAsia="Times New Roman" w:hAnsi="$Caslon" w:cs="Times New Roman"/>
      <w:b/>
      <w:sz w:val="26"/>
      <w:szCs w:val="20"/>
      <w:lang w:val="ro-RO"/>
    </w:rPr>
  </w:style>
  <w:style w:type="character" w:customStyle="1" w:styleId="Heading5Char">
    <w:name w:val="Heading 5 Char"/>
    <w:basedOn w:val="DefaultParagraphFont"/>
    <w:link w:val="Heading5"/>
    <w:rsid w:val="00066F71"/>
    <w:rPr>
      <w:rFonts w:ascii="$Caslon" w:eastAsia="Times New Roman" w:hAnsi="$Caslon" w:cs="Times New Roman"/>
      <w:sz w:val="24"/>
      <w:szCs w:val="20"/>
      <w:lang w:val="ro-RO"/>
    </w:rPr>
  </w:style>
  <w:style w:type="character" w:customStyle="1" w:styleId="Heading8Char">
    <w:name w:val="Heading 8 Char"/>
    <w:basedOn w:val="DefaultParagraphFont"/>
    <w:link w:val="Heading8"/>
    <w:rsid w:val="00066F71"/>
    <w:rPr>
      <w:rFonts w:ascii="$Caslon" w:eastAsia="Times New Roman" w:hAnsi="$Caslon" w:cs="Times New Roman"/>
      <w:b/>
      <w:sz w:val="24"/>
      <w:szCs w:val="20"/>
      <w:lang w:val="ro-RO"/>
    </w:rPr>
  </w:style>
  <w:style w:type="paragraph" w:styleId="ListParagraph">
    <w:name w:val="List Paragraph"/>
    <w:aliases w:val="List Paragraph 1,Resume Title,List Paragraph1,Bullet list,1st level - Bullet List Paragraph,Lettre d'introduction,Paragrafo elenco,List Paragraph11,Normal bullet 21,List Paragraph111,Bullet list1,Bullet Points,Liste Paragraf,Paragraph,lp1"/>
    <w:basedOn w:val="Normal"/>
    <w:link w:val="ListParagraphChar"/>
    <w:uiPriority w:val="34"/>
    <w:qFormat/>
    <w:rsid w:val="00066F71"/>
    <w:pPr>
      <w:ind w:left="720"/>
      <w:contextualSpacing/>
    </w:pPr>
  </w:style>
  <w:style w:type="paragraph" w:styleId="NoSpacing">
    <w:name w:val="No Spacing"/>
    <w:uiPriority w:val="1"/>
    <w:qFormat/>
    <w:rsid w:val="00066F71"/>
    <w:pPr>
      <w:spacing w:after="0" w:line="240" w:lineRule="auto"/>
      <w:ind w:firstLine="720"/>
      <w:jc w:val="both"/>
    </w:pPr>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066F7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066F71"/>
    <w:pPr>
      <w:widowControl w:val="0"/>
      <w:shd w:val="clear" w:color="auto" w:fill="FFFFFF"/>
      <w:spacing w:before="420" w:after="60" w:line="274" w:lineRule="exact"/>
      <w:ind w:hanging="420"/>
    </w:pPr>
    <w:rPr>
      <w:sz w:val="22"/>
      <w:szCs w:val="22"/>
      <w:lang w:val="en-US"/>
    </w:rPr>
  </w:style>
  <w:style w:type="character" w:customStyle="1" w:styleId="ListParagraphChar">
    <w:name w:val="List Paragraph Char"/>
    <w:aliases w:val="List Paragraph 1 Char,Resume Title Char,List Paragraph1 Char,Bullet list Char,1st level - Bullet List Paragraph Char,Lettre d'introduction Char,Paragrafo elenco Char,List Paragraph11 Char,Normal bullet 21 Char,List Paragraph111 Char"/>
    <w:basedOn w:val="DefaultParagraphFont"/>
    <w:link w:val="ListParagraph"/>
    <w:uiPriority w:val="34"/>
    <w:qFormat/>
    <w:locked/>
    <w:rsid w:val="00066F71"/>
    <w:rPr>
      <w:rFonts w:ascii="Times New Roman" w:eastAsia="Times New Roman" w:hAnsi="Times New Roman" w:cs="Times New Roman"/>
      <w:sz w:val="20"/>
      <w:szCs w:val="20"/>
      <w:lang w:val="ro-RO"/>
    </w:rPr>
  </w:style>
  <w:style w:type="paragraph" w:styleId="BodyText">
    <w:name w:val="Body Text"/>
    <w:basedOn w:val="Normal"/>
    <w:link w:val="BodyTextChar"/>
    <w:uiPriority w:val="1"/>
    <w:qFormat/>
    <w:rsid w:val="00066F71"/>
    <w:pPr>
      <w:widowControl w:val="0"/>
      <w:autoSpaceDE w:val="0"/>
      <w:autoSpaceDN w:val="0"/>
      <w:adjustRightInd w:val="0"/>
      <w:ind w:left="110" w:firstLine="851"/>
      <w:jc w:val="left"/>
    </w:pPr>
    <w:rPr>
      <w:rFonts w:ascii="Arial" w:eastAsiaTheme="minorEastAsia" w:hAnsi="Arial" w:cs="Arial"/>
      <w:sz w:val="24"/>
      <w:szCs w:val="24"/>
      <w:lang w:val="en-US"/>
    </w:rPr>
  </w:style>
  <w:style w:type="character" w:customStyle="1" w:styleId="BodyTextChar">
    <w:name w:val="Body Text Char"/>
    <w:basedOn w:val="DefaultParagraphFont"/>
    <w:link w:val="BodyText"/>
    <w:uiPriority w:val="1"/>
    <w:rsid w:val="00066F71"/>
    <w:rPr>
      <w:rFonts w:ascii="Arial" w:eastAsiaTheme="minorEastAsia" w:hAnsi="Arial" w:cs="Arial"/>
      <w:sz w:val="24"/>
      <w:szCs w:val="24"/>
    </w:rPr>
  </w:style>
  <w:style w:type="paragraph" w:customStyle="1" w:styleId="typedudocumentcp">
    <w:name w:val="typedudocument_cp"/>
    <w:basedOn w:val="Normal"/>
    <w:rsid w:val="00066F71"/>
    <w:pPr>
      <w:spacing w:before="100" w:beforeAutospacing="1" w:after="100" w:afterAutospacing="1"/>
      <w:ind w:firstLine="0"/>
      <w:jc w:val="left"/>
    </w:pPr>
    <w:rPr>
      <w:sz w:val="24"/>
      <w:szCs w:val="24"/>
      <w:lang w:val="en-US"/>
    </w:rPr>
  </w:style>
  <w:style w:type="paragraph" w:customStyle="1" w:styleId="Bulinebune">
    <w:name w:val="Buline_bune"/>
    <w:rsid w:val="00066F71"/>
    <w:pPr>
      <w:numPr>
        <w:numId w:val="3"/>
      </w:numPr>
      <w:suppressAutoHyphens/>
      <w:spacing w:before="120" w:after="120" w:line="276" w:lineRule="auto"/>
      <w:jc w:val="both"/>
    </w:pPr>
    <w:rPr>
      <w:rFonts w:ascii="Calibri" w:eastAsia="MS Mincho" w:hAnsi="Calibri" w:cs="Calibri"/>
      <w:szCs w:val="24"/>
      <w:lang w:val="ro-RO" w:eastAsia="zh-CN"/>
    </w:rPr>
  </w:style>
  <w:style w:type="table" w:styleId="TableGrid">
    <w:name w:val="Table Grid"/>
    <w:basedOn w:val="TableNormal"/>
    <w:rsid w:val="00066F7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66F71"/>
    <w:pPr>
      <w:widowControl w:val="0"/>
      <w:adjustRightInd w:val="0"/>
      <w:spacing w:line="360" w:lineRule="atLeast"/>
      <w:ind w:firstLine="0"/>
    </w:pPr>
    <w:rPr>
      <w:rFonts w:ascii="Courier New" w:hAnsi="Courier New" w:cs="Courier New"/>
      <w:sz w:val="24"/>
      <w:szCs w:val="23"/>
      <w:lang w:eastAsia="ru-RU"/>
    </w:rPr>
  </w:style>
  <w:style w:type="character" w:customStyle="1" w:styleId="PlainTextChar">
    <w:name w:val="Plain Text Char"/>
    <w:basedOn w:val="DefaultParagraphFont"/>
    <w:link w:val="PlainText"/>
    <w:rsid w:val="00066F71"/>
    <w:rPr>
      <w:rFonts w:ascii="Courier New" w:eastAsia="Times New Roman" w:hAnsi="Courier New" w:cs="Courier New"/>
      <w:sz w:val="24"/>
      <w:szCs w:val="23"/>
      <w:lang w:val="ro-RO" w:eastAsia="ru-RU"/>
    </w:rPr>
  </w:style>
  <w:style w:type="character" w:styleId="Hyperlink">
    <w:name w:val="Hyperlink"/>
    <w:basedOn w:val="DefaultParagraphFont"/>
    <w:uiPriority w:val="99"/>
    <w:unhideWhenUsed/>
    <w:rsid w:val="00066F71"/>
    <w:rPr>
      <w:rFonts w:cs="Times New Roman"/>
      <w:color w:val="0563C1" w:themeColor="hyperlink"/>
      <w:u w:val="single"/>
    </w:rPr>
  </w:style>
  <w:style w:type="paragraph" w:customStyle="1" w:styleId="al">
    <w:name w:val="a_l"/>
    <w:basedOn w:val="Normal"/>
    <w:rsid w:val="00066F71"/>
    <w:pPr>
      <w:spacing w:before="100" w:beforeAutospacing="1" w:after="100" w:afterAutospacing="1"/>
      <w:ind w:firstLine="0"/>
      <w:jc w:val="left"/>
    </w:pPr>
    <w:rPr>
      <w:sz w:val="24"/>
      <w:szCs w:val="24"/>
      <w:lang w:val="en-US"/>
    </w:rPr>
  </w:style>
  <w:style w:type="paragraph" w:styleId="BalloonText">
    <w:name w:val="Balloon Text"/>
    <w:basedOn w:val="Normal"/>
    <w:link w:val="BalloonTextChar"/>
    <w:uiPriority w:val="99"/>
    <w:semiHidden/>
    <w:unhideWhenUsed/>
    <w:rsid w:val="00C73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71F"/>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MEC</cp:lastModifiedBy>
  <cp:revision>4</cp:revision>
  <cp:lastPrinted>2025-04-09T09:45:00Z</cp:lastPrinted>
  <dcterms:created xsi:type="dcterms:W3CDTF">2025-04-10T11:42:00Z</dcterms:created>
  <dcterms:modified xsi:type="dcterms:W3CDTF">2025-05-05T08:02:00Z</dcterms:modified>
</cp:coreProperties>
</file>