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7EEB4" w14:textId="77777777" w:rsidR="00E8642F" w:rsidRPr="00C937AF" w:rsidRDefault="000B3C50" w:rsidP="00B01D43">
      <w:pPr>
        <w:pBdr>
          <w:top w:val="none" w:sz="0" w:space="0" w:color="000000"/>
          <w:left w:val="none" w:sz="0" w:space="0" w:color="000000"/>
          <w:bottom w:val="none" w:sz="0" w:space="0" w:color="000000"/>
          <w:right w:val="none" w:sz="0" w:space="0" w:color="000000"/>
        </w:pBdr>
        <w:tabs>
          <w:tab w:val="left" w:pos="884"/>
          <w:tab w:val="left" w:pos="1196"/>
        </w:tabs>
        <w:spacing w:line="276" w:lineRule="auto"/>
        <w:ind w:firstLine="0"/>
        <w:jc w:val="center"/>
        <w:rPr>
          <w:b/>
          <w:sz w:val="24"/>
          <w:szCs w:val="24"/>
          <w:lang w:val="ro-MD"/>
        </w:rPr>
      </w:pPr>
      <w:bookmarkStart w:id="0" w:name="_GoBack"/>
      <w:bookmarkEnd w:id="0"/>
      <w:r w:rsidRPr="00C937AF">
        <w:rPr>
          <w:b/>
          <w:sz w:val="24"/>
          <w:szCs w:val="24"/>
          <w:lang w:val="ro-MD"/>
        </w:rPr>
        <w:t>NOTA DE FUNDAMENTARE</w:t>
      </w:r>
    </w:p>
    <w:p w14:paraId="2314E732" w14:textId="77777777" w:rsidR="00F05B9E" w:rsidRPr="00C937AF" w:rsidRDefault="00F05B9E" w:rsidP="00F05B9E">
      <w:pPr>
        <w:pStyle w:val="NoSpacing"/>
        <w:jc w:val="center"/>
        <w:rPr>
          <w:b/>
          <w:sz w:val="24"/>
          <w:szCs w:val="24"/>
          <w:lang w:val="ro-MD"/>
        </w:rPr>
      </w:pPr>
      <w:r w:rsidRPr="00C937AF">
        <w:rPr>
          <w:b/>
          <w:sz w:val="24"/>
          <w:szCs w:val="24"/>
          <w:lang w:val="ro-MD"/>
        </w:rPr>
        <w:t xml:space="preserve">la proiectul Hotărârii Guvernului privind modificarea Hotărârii Guvernului nr.330/2023 cu privire la aprobarea Cadrului Național al Calificărilor </w:t>
      </w:r>
    </w:p>
    <w:tbl>
      <w:tblPr>
        <w:tblStyle w:val="a"/>
        <w:tblW w:w="9629" w:type="dxa"/>
        <w:tblBorders>
          <w:top w:val="nil"/>
          <w:left w:val="nil"/>
          <w:bottom w:val="nil"/>
          <w:right w:val="nil"/>
          <w:insideH w:val="nil"/>
          <w:insideV w:val="nil"/>
        </w:tblBorders>
        <w:tblLayout w:type="fixed"/>
        <w:tblLook w:val="0400" w:firstRow="0" w:lastRow="0" w:firstColumn="0" w:lastColumn="0" w:noHBand="0" w:noVBand="1"/>
      </w:tblPr>
      <w:tblGrid>
        <w:gridCol w:w="9629"/>
      </w:tblGrid>
      <w:tr w:rsidR="00C937AF" w:rsidRPr="00C937AF" w14:paraId="56D9FBCA" w14:textId="77777777" w:rsidTr="00C54945">
        <w:tc>
          <w:tcPr>
            <w:tcW w:w="9629"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3E7CDA92" w14:textId="77777777" w:rsidR="00E8642F" w:rsidRPr="00C937AF" w:rsidRDefault="000B3C50" w:rsidP="00B01D43">
            <w:pPr>
              <w:spacing w:line="276" w:lineRule="auto"/>
              <w:rPr>
                <w:rFonts w:ascii="Times New Roman" w:eastAsia="Times New Roman" w:hAnsi="Times New Roman" w:cs="Times New Roman"/>
                <w:b/>
                <w:color w:val="auto"/>
                <w:sz w:val="24"/>
                <w:szCs w:val="24"/>
                <w:lang w:val="ro-MD"/>
              </w:rPr>
            </w:pPr>
            <w:r w:rsidRPr="00C937AF">
              <w:rPr>
                <w:rFonts w:ascii="Times New Roman" w:eastAsia="Times New Roman" w:hAnsi="Times New Roman" w:cs="Times New Roman"/>
                <w:i/>
                <w:color w:val="auto"/>
                <w:sz w:val="24"/>
                <w:szCs w:val="24"/>
                <w:vertAlign w:val="superscript"/>
                <w:lang w:val="ro-MD"/>
              </w:rPr>
              <w:t xml:space="preserve"> </w:t>
            </w:r>
            <w:r w:rsidRPr="00C937AF">
              <w:rPr>
                <w:rFonts w:ascii="Times New Roman" w:eastAsia="Times New Roman" w:hAnsi="Times New Roman" w:cs="Times New Roman"/>
                <w:b/>
                <w:color w:val="auto"/>
                <w:sz w:val="24"/>
                <w:szCs w:val="24"/>
                <w:lang w:val="ro-MD"/>
              </w:rPr>
              <w:t>1. Denumirea sau numele autorului și, după caz, a/al participanților la elaborarea proiectului actului normativ</w:t>
            </w:r>
          </w:p>
        </w:tc>
      </w:tr>
      <w:tr w:rsidR="00C937AF" w:rsidRPr="00C937AF" w14:paraId="446CF6C7" w14:textId="77777777" w:rsidTr="00C54945">
        <w:tc>
          <w:tcPr>
            <w:tcW w:w="962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9D4BAE" w14:textId="34005519" w:rsidR="00E8642F" w:rsidRPr="00C937AF" w:rsidRDefault="000B3C50" w:rsidP="00B01D43">
            <w:pPr>
              <w:pStyle w:val="Heading4"/>
              <w:shd w:val="clear" w:color="auto" w:fill="FFFFFF"/>
              <w:spacing w:line="276" w:lineRule="auto"/>
              <w:ind w:firstLine="0"/>
              <w:jc w:val="both"/>
              <w:outlineLvl w:val="3"/>
              <w:rPr>
                <w:rFonts w:ascii="Times New Roman" w:eastAsia="Times New Roman" w:hAnsi="Times New Roman" w:cs="Times New Roman"/>
                <w:b w:val="0"/>
                <w:color w:val="auto"/>
                <w:sz w:val="24"/>
                <w:szCs w:val="24"/>
                <w:lang w:val="ro-MD"/>
              </w:rPr>
            </w:pPr>
            <w:r w:rsidRPr="00C937AF">
              <w:rPr>
                <w:rFonts w:ascii="Times New Roman" w:eastAsia="Times New Roman" w:hAnsi="Times New Roman" w:cs="Times New Roman"/>
                <w:b w:val="0"/>
                <w:color w:val="auto"/>
                <w:sz w:val="24"/>
                <w:szCs w:val="24"/>
                <w:lang w:val="ro-MD"/>
              </w:rPr>
              <w:t xml:space="preserve">            </w:t>
            </w:r>
            <w:r w:rsidR="00F05B9E" w:rsidRPr="00C937AF">
              <w:rPr>
                <w:rFonts w:ascii="Times New Roman" w:hAnsi="Times New Roman" w:cs="Times New Roman"/>
                <w:b w:val="0"/>
                <w:color w:val="auto"/>
                <w:sz w:val="24"/>
                <w:szCs w:val="24"/>
                <w:lang w:val="ro-MD"/>
              </w:rPr>
              <w:t xml:space="preserve">Proiectul Hotărârii Guvernului privind modificarea Hotărârii Guvernului nr.330/2023 cu privire la aprobarea Cadrului Național al Calificărilor a fost elaborat de către Ministerul Educației și Cercetării. </w:t>
            </w:r>
            <w:r w:rsidRPr="00C937AF">
              <w:rPr>
                <w:rFonts w:ascii="Times New Roman" w:eastAsia="Times New Roman" w:hAnsi="Times New Roman" w:cs="Times New Roman"/>
                <w:b w:val="0"/>
                <w:color w:val="auto"/>
                <w:sz w:val="24"/>
                <w:szCs w:val="24"/>
                <w:lang w:val="ro-MD"/>
              </w:rPr>
              <w:t xml:space="preserve"> </w:t>
            </w:r>
          </w:p>
        </w:tc>
      </w:tr>
      <w:tr w:rsidR="00C937AF" w:rsidRPr="00C937AF" w14:paraId="0234A3D3" w14:textId="77777777" w:rsidTr="00C54945">
        <w:tc>
          <w:tcPr>
            <w:tcW w:w="962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2343FC59" w14:textId="77777777" w:rsidR="00E8642F" w:rsidRPr="00C937AF" w:rsidRDefault="000B3C50" w:rsidP="00B01D43">
            <w:pPr>
              <w:spacing w:line="276" w:lineRule="auto"/>
              <w:rPr>
                <w:rFonts w:ascii="Times New Roman" w:eastAsia="Times New Roman" w:hAnsi="Times New Roman" w:cs="Times New Roman"/>
                <w:b/>
                <w:color w:val="auto"/>
                <w:sz w:val="24"/>
                <w:szCs w:val="24"/>
                <w:lang w:val="ro-MD"/>
              </w:rPr>
            </w:pPr>
            <w:r w:rsidRPr="00C937AF">
              <w:rPr>
                <w:rFonts w:ascii="Times New Roman" w:eastAsia="Times New Roman" w:hAnsi="Times New Roman" w:cs="Times New Roman"/>
                <w:b/>
                <w:color w:val="auto"/>
                <w:sz w:val="24"/>
                <w:szCs w:val="24"/>
                <w:lang w:val="ro-MD"/>
              </w:rPr>
              <w:t>2. Condițiile ce au impus elaborarea proiectului actului normativ</w:t>
            </w:r>
          </w:p>
        </w:tc>
      </w:tr>
      <w:tr w:rsidR="00C937AF" w:rsidRPr="00C937AF" w14:paraId="419858F5" w14:textId="77777777" w:rsidTr="00C54945">
        <w:tc>
          <w:tcPr>
            <w:tcW w:w="9629" w:type="dxa"/>
            <w:tcBorders>
              <w:top w:val="nil"/>
              <w:left w:val="single" w:sz="8" w:space="0" w:color="000000"/>
              <w:bottom w:val="single" w:sz="8" w:space="0" w:color="000000"/>
              <w:right w:val="single" w:sz="8" w:space="0" w:color="000000"/>
            </w:tcBorders>
            <w:shd w:val="clear" w:color="auto" w:fill="EDEDED"/>
            <w:tcMar>
              <w:top w:w="0" w:type="dxa"/>
              <w:left w:w="108" w:type="dxa"/>
              <w:bottom w:w="0" w:type="dxa"/>
              <w:right w:w="108" w:type="dxa"/>
            </w:tcMar>
          </w:tcPr>
          <w:p w14:paraId="387D7FB0" w14:textId="77777777" w:rsidR="00E8642F" w:rsidRPr="00C937AF" w:rsidRDefault="000B3C50" w:rsidP="00B01D43">
            <w:pPr>
              <w:spacing w:line="276" w:lineRule="auto"/>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2.1. Temeiul legal sau, după caz, sursa proiectului actului normativ</w:t>
            </w:r>
          </w:p>
        </w:tc>
      </w:tr>
      <w:tr w:rsidR="00C937AF" w:rsidRPr="00C937AF" w14:paraId="79D8AFFD" w14:textId="77777777" w:rsidTr="00C54945">
        <w:tc>
          <w:tcPr>
            <w:tcW w:w="9629" w:type="dxa"/>
            <w:tcBorders>
              <w:top w:val="nil"/>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0C998D91" w14:textId="74506A7F" w:rsidR="00E8642F" w:rsidRPr="00C937AF" w:rsidRDefault="009A3497" w:rsidP="00F05B9E">
            <w:pPr>
              <w:tabs>
                <w:tab w:val="left" w:pos="284"/>
                <w:tab w:val="left" w:pos="1196"/>
              </w:tabs>
              <w:spacing w:line="276" w:lineRule="auto"/>
              <w:ind w:firstLine="0"/>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 xml:space="preserve">           </w:t>
            </w:r>
            <w:r w:rsidR="00F05B9E" w:rsidRPr="00C937AF">
              <w:rPr>
                <w:rFonts w:ascii="Times New Roman" w:hAnsi="Times New Roman" w:cs="Times New Roman"/>
                <w:color w:val="auto"/>
                <w:sz w:val="24"/>
                <w:szCs w:val="24"/>
                <w:lang w:val="ro-MD"/>
              </w:rPr>
              <w:t>Proiectul Hotărârii Guvernului privind modificarea Hotărârii Guvernului nr.330/2023 cu privire la aprobarea Cadrului Național al Calificărilor a fos</w:t>
            </w:r>
            <w:r w:rsidR="000B3C50" w:rsidRPr="00C937AF">
              <w:rPr>
                <w:rFonts w:ascii="Times New Roman" w:eastAsia="Times New Roman" w:hAnsi="Times New Roman" w:cs="Times New Roman"/>
                <w:color w:val="auto"/>
                <w:sz w:val="24"/>
                <w:szCs w:val="24"/>
                <w:lang w:val="ro-MD"/>
              </w:rPr>
              <w:t xml:space="preserve">t elaborat în scopul executării prevederilor </w:t>
            </w:r>
            <w:r w:rsidR="00F05B9E" w:rsidRPr="00C937AF">
              <w:rPr>
                <w:rFonts w:ascii="Times New Roman" w:eastAsia="Times New Roman" w:hAnsi="Times New Roman" w:cs="Times New Roman"/>
                <w:color w:val="auto"/>
                <w:sz w:val="24"/>
                <w:szCs w:val="24"/>
                <w:lang w:val="ro-MD"/>
              </w:rPr>
              <w:t>art. 11</w:t>
            </w:r>
            <w:r w:rsidR="00F05B9E" w:rsidRPr="00C937AF">
              <w:rPr>
                <w:rFonts w:ascii="Times New Roman" w:eastAsia="Times New Roman" w:hAnsi="Times New Roman" w:cs="Times New Roman"/>
                <w:color w:val="auto"/>
                <w:sz w:val="24"/>
                <w:szCs w:val="24"/>
                <w:vertAlign w:val="superscript"/>
                <w:lang w:val="ro-MD"/>
              </w:rPr>
              <w:t>1</w:t>
            </w:r>
            <w:r w:rsidR="00F05B9E" w:rsidRPr="00C937AF">
              <w:rPr>
                <w:rFonts w:ascii="Times New Roman" w:eastAsia="Times New Roman" w:hAnsi="Times New Roman" w:cs="Times New Roman"/>
                <w:color w:val="auto"/>
                <w:sz w:val="24"/>
                <w:szCs w:val="24"/>
                <w:lang w:val="ro-MD"/>
              </w:rPr>
              <w:t xml:space="preserve">, </w:t>
            </w:r>
            <w:r w:rsidR="00A71509" w:rsidRPr="00C937AF">
              <w:rPr>
                <w:rFonts w:ascii="Times New Roman" w:eastAsia="Times New Roman" w:hAnsi="Times New Roman" w:cs="Times New Roman"/>
                <w:color w:val="auto"/>
                <w:sz w:val="24"/>
                <w:szCs w:val="24"/>
                <w:lang w:val="ro-MD"/>
              </w:rPr>
              <w:t>art.</w:t>
            </w:r>
            <w:r w:rsidR="00F05B9E" w:rsidRPr="00C937AF">
              <w:rPr>
                <w:rFonts w:ascii="Times New Roman" w:eastAsia="Times New Roman" w:hAnsi="Times New Roman" w:cs="Times New Roman"/>
                <w:color w:val="auto"/>
                <w:sz w:val="24"/>
                <w:szCs w:val="24"/>
                <w:lang w:val="ro-MD"/>
              </w:rPr>
              <w:t>132</w:t>
            </w:r>
            <w:r w:rsidR="00A71509" w:rsidRPr="00C937AF">
              <w:rPr>
                <w:rFonts w:ascii="Times New Roman" w:eastAsia="Times New Roman" w:hAnsi="Times New Roman" w:cs="Times New Roman"/>
                <w:color w:val="auto"/>
                <w:sz w:val="24"/>
                <w:szCs w:val="24"/>
                <w:lang w:val="ro-MD"/>
              </w:rPr>
              <w:t xml:space="preserve"> alin. (</w:t>
            </w:r>
            <w:r w:rsidR="00F05B9E" w:rsidRPr="00C937AF">
              <w:rPr>
                <w:rFonts w:ascii="Times New Roman" w:eastAsia="Times New Roman" w:hAnsi="Times New Roman" w:cs="Times New Roman"/>
                <w:color w:val="auto"/>
                <w:sz w:val="24"/>
                <w:szCs w:val="24"/>
                <w:lang w:val="ro-MD"/>
              </w:rPr>
              <w:t>1</w:t>
            </w:r>
            <w:r w:rsidR="00A71509" w:rsidRPr="00C937AF">
              <w:rPr>
                <w:rFonts w:ascii="Times New Roman" w:eastAsia="Times New Roman" w:hAnsi="Times New Roman" w:cs="Times New Roman"/>
                <w:color w:val="auto"/>
                <w:sz w:val="24"/>
                <w:szCs w:val="24"/>
                <w:lang w:val="ro-MD"/>
              </w:rPr>
              <w:t xml:space="preserve">) și a </w:t>
            </w:r>
            <w:r w:rsidR="00A71509" w:rsidRPr="00C937AF">
              <w:rPr>
                <w:rFonts w:ascii="Times New Roman" w:eastAsia="Times New Roman" w:hAnsi="Times New Roman" w:cs="Times New Roman"/>
                <w:color w:val="auto"/>
                <w:sz w:val="24"/>
                <w:szCs w:val="24"/>
                <w:shd w:val="clear" w:color="auto" w:fill="FFFFFF"/>
                <w:lang w:val="ro-MD"/>
              </w:rPr>
              <w:t>art. 126 alin. (</w:t>
            </w:r>
            <w:r w:rsidR="00F05B9E" w:rsidRPr="00C937AF">
              <w:rPr>
                <w:rFonts w:ascii="Times New Roman" w:eastAsia="Times New Roman" w:hAnsi="Times New Roman" w:cs="Times New Roman"/>
                <w:color w:val="auto"/>
                <w:sz w:val="24"/>
                <w:szCs w:val="24"/>
                <w:shd w:val="clear" w:color="auto" w:fill="FFFFFF"/>
                <w:lang w:val="ro-MD"/>
              </w:rPr>
              <w:t>1</w:t>
            </w:r>
            <w:r w:rsidR="00F05B9E" w:rsidRPr="00C937AF">
              <w:rPr>
                <w:rFonts w:ascii="Times New Roman" w:eastAsia="Times New Roman" w:hAnsi="Times New Roman" w:cs="Times New Roman"/>
                <w:color w:val="auto"/>
                <w:sz w:val="24"/>
                <w:szCs w:val="24"/>
                <w:shd w:val="clear" w:color="auto" w:fill="FFFFFF"/>
                <w:vertAlign w:val="superscript"/>
                <w:lang w:val="ro-MD"/>
              </w:rPr>
              <w:t>1</w:t>
            </w:r>
            <w:r w:rsidR="00A71509" w:rsidRPr="00C937AF">
              <w:rPr>
                <w:rFonts w:ascii="Times New Roman" w:eastAsia="Times New Roman" w:hAnsi="Times New Roman" w:cs="Times New Roman"/>
                <w:color w:val="auto"/>
                <w:sz w:val="24"/>
                <w:szCs w:val="24"/>
                <w:shd w:val="clear" w:color="auto" w:fill="FFFFFF"/>
                <w:lang w:val="ro-MD"/>
              </w:rPr>
              <w:t xml:space="preserve">) </w:t>
            </w:r>
            <w:r w:rsidR="00A71509" w:rsidRPr="00C937AF">
              <w:rPr>
                <w:rFonts w:ascii="Times New Roman" w:eastAsia="Times New Roman" w:hAnsi="Times New Roman" w:cs="Times New Roman"/>
                <w:color w:val="auto"/>
                <w:sz w:val="24"/>
                <w:szCs w:val="24"/>
                <w:lang w:val="ro-MD"/>
              </w:rPr>
              <w:t>din Codul educației al Republicii Moldova nr.152/2014 (Monitorul Oficial al Republicii Moldova, 2014, nr. 319-324, art. 634)</w:t>
            </w:r>
            <w:r w:rsidR="000B3C50" w:rsidRPr="00C937AF">
              <w:rPr>
                <w:rFonts w:ascii="Times New Roman" w:eastAsia="Times New Roman" w:hAnsi="Times New Roman" w:cs="Times New Roman"/>
                <w:color w:val="auto"/>
                <w:sz w:val="24"/>
                <w:szCs w:val="24"/>
                <w:highlight w:val="white"/>
                <w:lang w:val="ro-MD"/>
              </w:rPr>
              <w:t>, cu modificările ulterioare</w:t>
            </w:r>
            <w:r w:rsidR="000B3C50" w:rsidRPr="00C937AF">
              <w:rPr>
                <w:rFonts w:ascii="Times New Roman" w:eastAsia="Times New Roman" w:hAnsi="Times New Roman" w:cs="Times New Roman"/>
                <w:color w:val="auto"/>
                <w:sz w:val="24"/>
                <w:szCs w:val="24"/>
                <w:lang w:val="ro-MD"/>
              </w:rPr>
              <w:t>.</w:t>
            </w:r>
          </w:p>
        </w:tc>
      </w:tr>
      <w:tr w:rsidR="00C937AF" w:rsidRPr="00C937AF" w14:paraId="41E56498" w14:textId="77777777" w:rsidTr="00C54945">
        <w:tc>
          <w:tcPr>
            <w:tcW w:w="9629" w:type="dxa"/>
            <w:tcBorders>
              <w:top w:val="nil"/>
              <w:left w:val="single" w:sz="8" w:space="0" w:color="000000"/>
              <w:bottom w:val="single" w:sz="4" w:space="0" w:color="000000"/>
              <w:right w:val="single" w:sz="8" w:space="0" w:color="000000"/>
            </w:tcBorders>
            <w:shd w:val="clear" w:color="auto" w:fill="EDEDED"/>
            <w:tcMar>
              <w:top w:w="0" w:type="dxa"/>
              <w:left w:w="108" w:type="dxa"/>
              <w:bottom w:w="0" w:type="dxa"/>
              <w:right w:w="108" w:type="dxa"/>
            </w:tcMar>
          </w:tcPr>
          <w:p w14:paraId="08E48595" w14:textId="77777777" w:rsidR="00E8642F" w:rsidRPr="00C937AF" w:rsidRDefault="000B3C50" w:rsidP="00B01D43">
            <w:pPr>
              <w:spacing w:line="276" w:lineRule="auto"/>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2.2. Descrierea situației actuale și a problemelor care impun intervenția, inclusiv a cadrului normativ aplicabil și a deficiențelor/lacunelor normative</w:t>
            </w:r>
          </w:p>
        </w:tc>
      </w:tr>
      <w:tr w:rsidR="00C937AF" w:rsidRPr="00C937AF" w14:paraId="644FDA6C" w14:textId="77777777" w:rsidTr="00C54945">
        <w:tc>
          <w:tcPr>
            <w:tcW w:w="9629" w:type="dxa"/>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5C30BF8" w14:textId="7A6DE79F" w:rsidR="00F05B9E" w:rsidRPr="00C937AF" w:rsidRDefault="000B3C50" w:rsidP="0005154B">
            <w:pPr>
              <w:tabs>
                <w:tab w:val="left" w:pos="284"/>
                <w:tab w:val="left" w:pos="1196"/>
              </w:tabs>
              <w:spacing w:line="276" w:lineRule="auto"/>
              <w:ind w:firstLine="692"/>
              <w:rPr>
                <w:rFonts w:ascii="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 xml:space="preserve">Necesitatea </w:t>
            </w:r>
            <w:r w:rsidR="001617C7" w:rsidRPr="00C937AF">
              <w:rPr>
                <w:rFonts w:ascii="Times New Roman" w:eastAsia="Times New Roman" w:hAnsi="Times New Roman" w:cs="Times New Roman"/>
                <w:color w:val="auto"/>
                <w:sz w:val="24"/>
                <w:szCs w:val="24"/>
                <w:lang w:val="ro-MD"/>
              </w:rPr>
              <w:t xml:space="preserve">inițierii elaborării </w:t>
            </w:r>
            <w:r w:rsidR="0005154B" w:rsidRPr="00C937AF">
              <w:rPr>
                <w:rFonts w:ascii="Times New Roman" w:hAnsi="Times New Roman" w:cs="Times New Roman"/>
                <w:color w:val="auto"/>
                <w:sz w:val="24"/>
                <w:szCs w:val="24"/>
                <w:lang w:val="ro-MD"/>
              </w:rPr>
              <w:t>proiectului Hotărârii Guvernului</w:t>
            </w:r>
            <w:r w:rsidR="0005154B" w:rsidRPr="00C937AF">
              <w:rPr>
                <w:rFonts w:ascii="Times New Roman" w:eastAsia="Times New Roman" w:hAnsi="Times New Roman" w:cs="Times New Roman"/>
                <w:color w:val="auto"/>
                <w:sz w:val="24"/>
                <w:szCs w:val="24"/>
                <w:lang w:val="ro-MD"/>
              </w:rPr>
              <w:t xml:space="preserve"> </w:t>
            </w:r>
            <w:r w:rsidRPr="00C937AF">
              <w:rPr>
                <w:rFonts w:ascii="Times New Roman" w:eastAsia="Times New Roman" w:hAnsi="Times New Roman" w:cs="Times New Roman"/>
                <w:color w:val="auto"/>
                <w:sz w:val="24"/>
                <w:szCs w:val="24"/>
                <w:lang w:val="ro-MD"/>
              </w:rPr>
              <w:t>a apărut pentru a</w:t>
            </w:r>
            <w:r w:rsidR="00A71509" w:rsidRPr="00C937AF">
              <w:rPr>
                <w:rFonts w:ascii="Times New Roman" w:eastAsia="Times New Roman" w:hAnsi="Times New Roman" w:cs="Times New Roman"/>
                <w:color w:val="auto"/>
                <w:sz w:val="24"/>
                <w:szCs w:val="24"/>
                <w:lang w:val="ro-MD"/>
              </w:rPr>
              <w:t xml:space="preserve"> asigura respectarea Normelor stabilite de </w:t>
            </w:r>
            <w:r w:rsidR="00F05B9E" w:rsidRPr="00C937AF">
              <w:rPr>
                <w:rFonts w:ascii="Times New Roman" w:hAnsi="Times New Roman" w:cs="Times New Roman"/>
                <w:color w:val="auto"/>
                <w:sz w:val="24"/>
                <w:szCs w:val="24"/>
                <w:lang w:val="ro-MD"/>
              </w:rPr>
              <w:t>Codul Educației nr. 152/2014</w:t>
            </w:r>
            <w:r w:rsidR="0005154B" w:rsidRPr="00C937AF">
              <w:rPr>
                <w:rFonts w:ascii="Times New Roman" w:hAnsi="Times New Roman" w:cs="Times New Roman"/>
                <w:color w:val="auto"/>
                <w:sz w:val="24"/>
                <w:szCs w:val="24"/>
                <w:lang w:val="ro-MD"/>
              </w:rPr>
              <w:t>,</w:t>
            </w:r>
            <w:r w:rsidR="00F05B9E" w:rsidRPr="00C937AF">
              <w:rPr>
                <w:rFonts w:ascii="Times New Roman" w:hAnsi="Times New Roman" w:cs="Times New Roman"/>
                <w:color w:val="auto"/>
                <w:sz w:val="24"/>
                <w:szCs w:val="24"/>
                <w:lang w:val="ro-MD"/>
              </w:rPr>
              <w:t xml:space="preserve"> stimul</w:t>
            </w:r>
            <w:r w:rsidR="00B1412A" w:rsidRPr="00C937AF">
              <w:rPr>
                <w:rFonts w:ascii="Times New Roman" w:hAnsi="Times New Roman" w:cs="Times New Roman"/>
                <w:color w:val="auto"/>
                <w:sz w:val="24"/>
                <w:szCs w:val="24"/>
                <w:lang w:val="ro-MD"/>
              </w:rPr>
              <w:t>area</w:t>
            </w:r>
            <w:r w:rsidR="00F05B9E" w:rsidRPr="00C937AF">
              <w:rPr>
                <w:rFonts w:ascii="Times New Roman" w:hAnsi="Times New Roman" w:cs="Times New Roman"/>
                <w:color w:val="auto"/>
                <w:sz w:val="24"/>
                <w:szCs w:val="24"/>
                <w:lang w:val="ro-MD"/>
              </w:rPr>
              <w:t xml:space="preserve"> învățării pe tot parcursul vieții prin facilitarea accesului la programe de calificare parțială (</w:t>
            </w:r>
            <w:proofErr w:type="spellStart"/>
            <w:r w:rsidR="00F05B9E" w:rsidRPr="00C937AF">
              <w:rPr>
                <w:rFonts w:ascii="Times New Roman" w:hAnsi="Times New Roman" w:cs="Times New Roman"/>
                <w:color w:val="auto"/>
                <w:sz w:val="24"/>
                <w:szCs w:val="24"/>
                <w:lang w:val="ro-MD"/>
              </w:rPr>
              <w:t>microcalificare</w:t>
            </w:r>
            <w:proofErr w:type="spellEnd"/>
            <w:r w:rsidR="00F05B9E" w:rsidRPr="00C937AF">
              <w:rPr>
                <w:rFonts w:ascii="Times New Roman" w:hAnsi="Times New Roman" w:cs="Times New Roman"/>
                <w:color w:val="auto"/>
                <w:sz w:val="24"/>
                <w:szCs w:val="24"/>
                <w:lang w:val="ro-MD"/>
              </w:rPr>
              <w:t>) și</w:t>
            </w:r>
            <w:r w:rsidR="00F83D0A" w:rsidRPr="00C937AF">
              <w:rPr>
                <w:rFonts w:ascii="Times New Roman" w:hAnsi="Times New Roman" w:cs="Times New Roman"/>
                <w:color w:val="auto"/>
                <w:sz w:val="24"/>
                <w:szCs w:val="24"/>
                <w:lang w:val="ro-MD"/>
              </w:rPr>
              <w:t xml:space="preserve"> </w:t>
            </w:r>
            <w:r w:rsidR="00F05B9E" w:rsidRPr="00C937AF">
              <w:rPr>
                <w:rFonts w:ascii="Times New Roman" w:hAnsi="Times New Roman" w:cs="Times New Roman"/>
                <w:color w:val="auto"/>
                <w:sz w:val="24"/>
                <w:szCs w:val="24"/>
                <w:lang w:val="ro-MD"/>
              </w:rPr>
              <w:t xml:space="preserve">echivalarea în drepturi a actelor de studii de nivel 5 ISCED, obținute finalizarea programelor de studii din învățământul profesional tehnic </w:t>
            </w:r>
            <w:proofErr w:type="spellStart"/>
            <w:r w:rsidR="00F05B9E" w:rsidRPr="00C937AF">
              <w:rPr>
                <w:rFonts w:ascii="Times New Roman" w:hAnsi="Times New Roman" w:cs="Times New Roman"/>
                <w:color w:val="auto"/>
                <w:sz w:val="24"/>
                <w:szCs w:val="24"/>
                <w:lang w:val="ro-MD"/>
              </w:rPr>
              <w:t>postsecundar</w:t>
            </w:r>
            <w:proofErr w:type="spellEnd"/>
            <w:r w:rsidR="00F05B9E" w:rsidRPr="00C937AF">
              <w:rPr>
                <w:rFonts w:ascii="Times New Roman" w:hAnsi="Times New Roman" w:cs="Times New Roman"/>
                <w:color w:val="auto"/>
                <w:sz w:val="24"/>
                <w:szCs w:val="24"/>
                <w:lang w:val="ro-MD"/>
              </w:rPr>
              <w:t xml:space="preserve"> în domeniul educației. </w:t>
            </w:r>
          </w:p>
          <w:p w14:paraId="24C0D674" w14:textId="4CD7A462" w:rsidR="001E17AC" w:rsidRPr="00C937AF" w:rsidRDefault="00F05B9E" w:rsidP="00F05B9E">
            <w:pPr>
              <w:pStyle w:val="NormalWeb"/>
              <w:shd w:val="clear" w:color="auto" w:fill="FFFFFF"/>
              <w:spacing w:before="120" w:after="120" w:line="276" w:lineRule="auto"/>
              <w:ind w:firstLine="317"/>
              <w:rPr>
                <w:rFonts w:ascii="Times New Roman" w:hAnsi="Times New Roman" w:cs="Times New Roman"/>
                <w:color w:val="auto"/>
                <w:lang w:val="ro-MD"/>
              </w:rPr>
            </w:pPr>
            <w:r w:rsidRPr="00C937AF">
              <w:rPr>
                <w:rFonts w:ascii="Times New Roman" w:hAnsi="Times New Roman" w:cs="Times New Roman"/>
                <w:bCs/>
                <w:color w:val="auto"/>
                <w:lang w:val="ro-MD"/>
              </w:rPr>
              <w:t>Anexa 3 la Hotărârea Guvernului nr.330/2023 „</w:t>
            </w:r>
            <w:r w:rsidRPr="00C937AF">
              <w:rPr>
                <w:rFonts w:ascii="Times New Roman" w:hAnsi="Times New Roman" w:cs="Times New Roman"/>
                <w:color w:val="auto"/>
                <w:lang w:val="ro-MD"/>
              </w:rPr>
              <w:t>Corespondența dintre actele de studii și de formare profesională eliberate în sistemul național de învățământ, inclusiv până în anul 1991, nivelurile Clasificării Internaționale Standard a Educației, nivelurile C</w:t>
            </w:r>
            <w:r w:rsidRPr="00C937AF">
              <w:rPr>
                <w:rFonts w:ascii="Times New Roman" w:eastAsia="SimSun" w:hAnsi="Times New Roman" w:cs="Times New Roman"/>
                <w:color w:val="auto"/>
                <w:lang w:val="ro-MD" w:eastAsia="zh-CN"/>
              </w:rPr>
              <w:t>adrului Național al Calificărilor și</w:t>
            </w:r>
            <w:r w:rsidRPr="00C937AF">
              <w:rPr>
                <w:rFonts w:ascii="Times New Roman" w:hAnsi="Times New Roman" w:cs="Times New Roman"/>
                <w:color w:val="auto"/>
                <w:lang w:val="ro-MD"/>
              </w:rPr>
              <w:t xml:space="preserve"> nivelurile de referință ale Cadrului European al Calificărilor”, la moment, este unicul act normativ ce cuprinde toate tipurile de acte de studii </w:t>
            </w:r>
            <w:r w:rsidR="0005154B" w:rsidRPr="00C937AF">
              <w:rPr>
                <w:rFonts w:ascii="Times New Roman" w:hAnsi="Times New Roman" w:cs="Times New Roman"/>
                <w:color w:val="auto"/>
                <w:lang w:val="ro-MD"/>
              </w:rPr>
              <w:t>care oferă</w:t>
            </w:r>
            <w:r w:rsidRPr="00C937AF">
              <w:rPr>
                <w:rFonts w:ascii="Times New Roman" w:hAnsi="Times New Roman" w:cs="Times New Roman"/>
                <w:color w:val="auto"/>
                <w:lang w:val="ro-MD"/>
              </w:rPr>
              <w:t xml:space="preserve"> acces la studii la alt nivel de calificare</w:t>
            </w:r>
            <w:r w:rsidR="00F83D0A" w:rsidRPr="00C937AF">
              <w:rPr>
                <w:rFonts w:ascii="Times New Roman" w:hAnsi="Times New Roman" w:cs="Times New Roman"/>
                <w:color w:val="auto"/>
                <w:lang w:val="ro-MD"/>
              </w:rPr>
              <w:t xml:space="preserve">, iar necesitatea completării acesteia </w:t>
            </w:r>
            <w:r w:rsidR="00B1412A" w:rsidRPr="00C937AF">
              <w:rPr>
                <w:rFonts w:ascii="Times New Roman" w:hAnsi="Times New Roman" w:cs="Times New Roman"/>
                <w:color w:val="auto"/>
                <w:lang w:val="ro-MD"/>
              </w:rPr>
              <w:t>se realizează</w:t>
            </w:r>
            <w:r w:rsidR="00F83D0A" w:rsidRPr="00C937AF">
              <w:rPr>
                <w:rFonts w:ascii="Times New Roman" w:hAnsi="Times New Roman" w:cs="Times New Roman"/>
                <w:color w:val="auto"/>
                <w:lang w:val="ro-MD"/>
              </w:rPr>
              <w:t xml:space="preserve"> în scopul recunoașterii și echivalării în drepturi a </w:t>
            </w:r>
            <w:r w:rsidR="001E17AC" w:rsidRPr="00C937AF">
              <w:rPr>
                <w:rFonts w:ascii="Times New Roman" w:hAnsi="Times New Roman" w:cs="Times New Roman"/>
                <w:color w:val="auto"/>
                <w:lang w:val="ro-MD"/>
              </w:rPr>
              <w:t xml:space="preserve">actelor de studii și calificărilor din domeniul educației, obținute în sistemul național de învățământ profesional tehnic </w:t>
            </w:r>
            <w:proofErr w:type="spellStart"/>
            <w:r w:rsidR="001E17AC" w:rsidRPr="00C937AF">
              <w:rPr>
                <w:rFonts w:ascii="Times New Roman" w:hAnsi="Times New Roman" w:cs="Times New Roman"/>
                <w:color w:val="auto"/>
                <w:lang w:val="ro-MD"/>
              </w:rPr>
              <w:t>postsecundar</w:t>
            </w:r>
            <w:proofErr w:type="spellEnd"/>
            <w:r w:rsidR="001E17AC" w:rsidRPr="00C937AF">
              <w:rPr>
                <w:rFonts w:ascii="Times New Roman" w:hAnsi="Times New Roman" w:cs="Times New Roman"/>
                <w:color w:val="auto"/>
                <w:lang w:val="ro-MD"/>
              </w:rPr>
              <w:t xml:space="preserve">, până la aprobarea Hotărârii Guvernului nr.1016/2017 cu privire la aprobarea Cadrului </w:t>
            </w:r>
            <w:proofErr w:type="spellStart"/>
            <w:r w:rsidR="001E17AC" w:rsidRPr="00C937AF">
              <w:rPr>
                <w:rFonts w:ascii="Times New Roman" w:hAnsi="Times New Roman" w:cs="Times New Roman"/>
                <w:color w:val="auto"/>
                <w:lang w:val="ro-MD"/>
              </w:rPr>
              <w:t>Naţional</w:t>
            </w:r>
            <w:proofErr w:type="spellEnd"/>
            <w:r w:rsidR="001E17AC" w:rsidRPr="00C937AF">
              <w:rPr>
                <w:rFonts w:ascii="Times New Roman" w:hAnsi="Times New Roman" w:cs="Times New Roman"/>
                <w:color w:val="auto"/>
                <w:lang w:val="ro-MD"/>
              </w:rPr>
              <w:t xml:space="preserve"> al Calificărilor din Republica Moldova, conform prevederilor cadrului normativ la momentul admiterii. </w:t>
            </w:r>
          </w:p>
          <w:p w14:paraId="36AF11FF" w14:textId="12344BE8" w:rsidR="00F05B9E" w:rsidRPr="00C937AF" w:rsidRDefault="001E17AC" w:rsidP="00F05B9E">
            <w:pPr>
              <w:pStyle w:val="NormalWeb"/>
              <w:shd w:val="clear" w:color="auto" w:fill="FFFFFF"/>
              <w:spacing w:before="120" w:after="120" w:line="276" w:lineRule="auto"/>
              <w:ind w:firstLine="317"/>
              <w:rPr>
                <w:rFonts w:ascii="Times New Roman" w:hAnsi="Times New Roman" w:cs="Times New Roman"/>
                <w:color w:val="auto"/>
                <w:lang w:val="ro-MD"/>
              </w:rPr>
            </w:pPr>
            <w:r w:rsidRPr="00C937AF">
              <w:rPr>
                <w:rFonts w:ascii="Times New Roman" w:hAnsi="Times New Roman" w:cs="Times New Roman"/>
                <w:color w:val="auto"/>
                <w:lang w:val="ro-MD"/>
              </w:rPr>
              <w:t xml:space="preserve">Pentru radierea discrepanțelor între calificările și nivelele de calificare obținute prin actele de studii cu Seria PTP, care atestă obținerea calificărilor Învățător, Învățător în învățământul primar, Educator, Educator în învățământul preșcolar, Educator în instituții preșcolare și Conducător muzical, eliberate în sistemul național de învățământ profesional tehnic </w:t>
            </w:r>
            <w:proofErr w:type="spellStart"/>
            <w:r w:rsidRPr="00C937AF">
              <w:rPr>
                <w:rFonts w:ascii="Times New Roman" w:hAnsi="Times New Roman" w:cs="Times New Roman"/>
                <w:color w:val="auto"/>
                <w:lang w:val="ro-MD"/>
              </w:rPr>
              <w:t>postsecundar</w:t>
            </w:r>
            <w:proofErr w:type="spellEnd"/>
            <w:r w:rsidRPr="00C937AF">
              <w:rPr>
                <w:rFonts w:ascii="Times New Roman" w:hAnsi="Times New Roman" w:cs="Times New Roman"/>
                <w:color w:val="auto"/>
                <w:lang w:val="ro-MD"/>
              </w:rPr>
              <w:t xml:space="preserve">, până în anul 2025 </w:t>
            </w:r>
            <w:r w:rsidR="00B1412A" w:rsidRPr="00C937AF">
              <w:rPr>
                <w:rFonts w:ascii="Times New Roman" w:hAnsi="Times New Roman" w:cs="Times New Roman"/>
                <w:color w:val="auto"/>
                <w:lang w:val="ro-MD"/>
              </w:rPr>
              <w:t>se propune</w:t>
            </w:r>
            <w:r w:rsidRPr="00C937AF">
              <w:rPr>
                <w:rFonts w:ascii="Times New Roman" w:hAnsi="Times New Roman" w:cs="Times New Roman"/>
                <w:color w:val="auto"/>
                <w:lang w:val="ro-MD"/>
              </w:rPr>
              <w:t xml:space="preserve"> echivala</w:t>
            </w:r>
            <w:r w:rsidR="00B1412A" w:rsidRPr="00C937AF">
              <w:rPr>
                <w:rFonts w:ascii="Times New Roman" w:hAnsi="Times New Roman" w:cs="Times New Roman"/>
                <w:color w:val="auto"/>
                <w:lang w:val="ro-MD"/>
              </w:rPr>
              <w:t>rea</w:t>
            </w:r>
            <w:r w:rsidRPr="00C937AF">
              <w:rPr>
                <w:rFonts w:ascii="Times New Roman" w:hAnsi="Times New Roman" w:cs="Times New Roman"/>
                <w:color w:val="auto"/>
                <w:lang w:val="ro-MD"/>
              </w:rPr>
              <w:t xml:space="preserve"> în drepturi</w:t>
            </w:r>
            <w:r w:rsidR="00B1412A" w:rsidRPr="00C937AF">
              <w:rPr>
                <w:rFonts w:ascii="Times New Roman" w:hAnsi="Times New Roman" w:cs="Times New Roman"/>
                <w:color w:val="auto"/>
                <w:lang w:val="ro-MD"/>
              </w:rPr>
              <w:t xml:space="preserve"> a actelor de studii/calificărilor respective </w:t>
            </w:r>
            <w:r w:rsidRPr="00C937AF">
              <w:rPr>
                <w:rFonts w:ascii="Times New Roman" w:hAnsi="Times New Roman" w:cs="Times New Roman"/>
                <w:color w:val="auto"/>
                <w:lang w:val="ro-MD"/>
              </w:rPr>
              <w:t>cu actele de studii de nivel 5 ISCED</w:t>
            </w:r>
            <w:r w:rsidR="00B1412A" w:rsidRPr="00C937AF">
              <w:rPr>
                <w:rFonts w:ascii="Times New Roman" w:hAnsi="Times New Roman" w:cs="Times New Roman"/>
                <w:color w:val="auto"/>
                <w:lang w:val="ro-MD"/>
              </w:rPr>
              <w:t>.</w:t>
            </w:r>
          </w:p>
          <w:p w14:paraId="4A11EBB4" w14:textId="77777777" w:rsidR="00EB0221" w:rsidRPr="00C937AF" w:rsidRDefault="00F05B9E" w:rsidP="00C937AF">
            <w:pPr>
              <w:pStyle w:val="ListParagraph"/>
              <w:tabs>
                <w:tab w:val="left" w:pos="142"/>
                <w:tab w:val="left" w:pos="851"/>
              </w:tabs>
              <w:spacing w:line="276" w:lineRule="auto"/>
              <w:ind w:left="0" w:firstLine="422"/>
              <w:rPr>
                <w:rFonts w:ascii="Times New Roman" w:hAnsi="Times New Roman" w:cs="Times New Roman"/>
                <w:color w:val="auto"/>
                <w:sz w:val="24"/>
                <w:szCs w:val="24"/>
                <w:lang w:val="ro-MD"/>
              </w:rPr>
            </w:pPr>
            <w:r w:rsidRPr="00C937AF">
              <w:rPr>
                <w:rFonts w:ascii="Times New Roman" w:hAnsi="Times New Roman" w:cs="Times New Roman"/>
                <w:color w:val="auto"/>
                <w:sz w:val="24"/>
                <w:szCs w:val="24"/>
                <w:lang w:val="ro-MD"/>
              </w:rPr>
              <w:t xml:space="preserve">Proiectul Hotărârii de Guvern </w:t>
            </w:r>
            <w:r w:rsidRPr="00C937AF">
              <w:rPr>
                <w:rFonts w:ascii="Times New Roman" w:hAnsi="Times New Roman" w:cs="Times New Roman"/>
                <w:bCs/>
                <w:color w:val="auto"/>
                <w:sz w:val="24"/>
                <w:szCs w:val="24"/>
                <w:lang w:val="ro-MD"/>
              </w:rPr>
              <w:t>extinde accesul</w:t>
            </w:r>
            <w:r w:rsidR="00F83D0A" w:rsidRPr="00C937AF">
              <w:rPr>
                <w:rFonts w:ascii="Times New Roman" w:hAnsi="Times New Roman" w:cs="Times New Roman"/>
                <w:bCs/>
                <w:color w:val="auto"/>
                <w:sz w:val="24"/>
                <w:szCs w:val="24"/>
                <w:lang w:val="ro-MD"/>
              </w:rPr>
              <w:t xml:space="preserve"> titularilor actelor de studii </w:t>
            </w:r>
            <w:r w:rsidRPr="00C937AF">
              <w:rPr>
                <w:rFonts w:ascii="Times New Roman" w:hAnsi="Times New Roman" w:cs="Times New Roman"/>
                <w:bCs/>
                <w:color w:val="auto"/>
                <w:sz w:val="24"/>
                <w:szCs w:val="24"/>
                <w:lang w:val="ro-MD"/>
              </w:rPr>
              <w:t>la programe de calificare parțială (</w:t>
            </w:r>
            <w:proofErr w:type="spellStart"/>
            <w:r w:rsidRPr="00C937AF">
              <w:rPr>
                <w:rFonts w:ascii="Times New Roman" w:hAnsi="Times New Roman" w:cs="Times New Roman"/>
                <w:bCs/>
                <w:color w:val="auto"/>
                <w:sz w:val="24"/>
                <w:szCs w:val="24"/>
                <w:lang w:val="ro-MD"/>
              </w:rPr>
              <w:t>microcalificare</w:t>
            </w:r>
            <w:proofErr w:type="spellEnd"/>
            <w:r w:rsidRPr="00C937AF">
              <w:rPr>
                <w:rFonts w:ascii="Times New Roman" w:hAnsi="Times New Roman" w:cs="Times New Roman"/>
                <w:bCs/>
                <w:color w:val="auto"/>
                <w:sz w:val="24"/>
                <w:szCs w:val="24"/>
                <w:lang w:val="ro-MD"/>
              </w:rPr>
              <w:t>)</w:t>
            </w:r>
            <w:r w:rsidR="00F83D0A" w:rsidRPr="00C937AF">
              <w:rPr>
                <w:rFonts w:ascii="Times New Roman" w:hAnsi="Times New Roman" w:cs="Times New Roman"/>
                <w:bCs/>
                <w:color w:val="auto"/>
                <w:sz w:val="24"/>
                <w:szCs w:val="24"/>
                <w:lang w:val="ro-MD"/>
              </w:rPr>
              <w:t xml:space="preserve"> de nivel superior de calificare</w:t>
            </w:r>
            <w:r w:rsidRPr="00C937AF">
              <w:rPr>
                <w:rFonts w:ascii="Times New Roman" w:hAnsi="Times New Roman" w:cs="Times New Roman"/>
                <w:bCs/>
                <w:color w:val="auto"/>
                <w:sz w:val="24"/>
                <w:szCs w:val="24"/>
                <w:lang w:val="ro-MD"/>
              </w:rPr>
              <w:t xml:space="preserve">, fapt ce </w:t>
            </w:r>
            <w:r w:rsidR="00F83D0A" w:rsidRPr="00C937AF">
              <w:rPr>
                <w:rFonts w:ascii="Times New Roman" w:hAnsi="Times New Roman" w:cs="Times New Roman"/>
                <w:bCs/>
                <w:color w:val="auto"/>
                <w:sz w:val="24"/>
                <w:szCs w:val="24"/>
                <w:lang w:val="ro-MD"/>
              </w:rPr>
              <w:t>duce la</w:t>
            </w:r>
            <w:r w:rsidRPr="00C937AF">
              <w:rPr>
                <w:rFonts w:ascii="Times New Roman" w:hAnsi="Times New Roman" w:cs="Times New Roman"/>
                <w:bCs/>
                <w:color w:val="auto"/>
                <w:sz w:val="24"/>
                <w:szCs w:val="24"/>
                <w:lang w:val="ro-MD"/>
              </w:rPr>
              <w:t xml:space="preserve"> obținerea unui</w:t>
            </w:r>
            <w:r w:rsidRPr="00C937AF">
              <w:rPr>
                <w:rFonts w:ascii="Times New Roman" w:hAnsi="Times New Roman" w:cs="Times New Roman"/>
                <w:color w:val="auto"/>
                <w:sz w:val="24"/>
                <w:szCs w:val="24"/>
                <w:lang w:val="ro-MD"/>
              </w:rPr>
              <w:t xml:space="preserve"> set de rezultate ale învățării prin parcurgerea unui modul/program scurt, certificat oficial conform standardelor unice de calificare și asigurare a calității, cu eliberarea unui certificat de competență profesională (</w:t>
            </w:r>
            <w:proofErr w:type="spellStart"/>
            <w:r w:rsidRPr="00C937AF">
              <w:rPr>
                <w:rFonts w:ascii="Times New Roman" w:hAnsi="Times New Roman" w:cs="Times New Roman"/>
                <w:color w:val="auto"/>
                <w:sz w:val="24"/>
                <w:szCs w:val="24"/>
                <w:lang w:val="ro-MD"/>
              </w:rPr>
              <w:t>microcertificat</w:t>
            </w:r>
            <w:proofErr w:type="spellEnd"/>
            <w:r w:rsidRPr="00C937AF">
              <w:rPr>
                <w:rFonts w:ascii="Times New Roman" w:hAnsi="Times New Roman" w:cs="Times New Roman"/>
                <w:color w:val="auto"/>
                <w:sz w:val="24"/>
                <w:szCs w:val="24"/>
                <w:lang w:val="ro-MD"/>
              </w:rPr>
              <w:t>), care permite ocuparea unui loc de lucru/funcții pe piața muncii</w:t>
            </w:r>
            <w:r w:rsidR="00F83D0A" w:rsidRPr="00C937AF">
              <w:rPr>
                <w:rFonts w:ascii="Times New Roman" w:hAnsi="Times New Roman" w:cs="Times New Roman"/>
                <w:color w:val="auto"/>
                <w:sz w:val="24"/>
                <w:szCs w:val="24"/>
                <w:lang w:val="ro-MD"/>
              </w:rPr>
              <w:t>, care solicită competențe distincte</w:t>
            </w:r>
            <w:r w:rsidRPr="00C937AF">
              <w:rPr>
                <w:rFonts w:ascii="Times New Roman" w:hAnsi="Times New Roman" w:cs="Times New Roman"/>
                <w:color w:val="auto"/>
                <w:sz w:val="24"/>
                <w:szCs w:val="24"/>
                <w:lang w:val="ro-MD"/>
              </w:rPr>
              <w:t xml:space="preserve">. </w:t>
            </w:r>
          </w:p>
          <w:p w14:paraId="7FCC8679" w14:textId="5E83BCCB" w:rsidR="007F5332" w:rsidRPr="00C937AF" w:rsidRDefault="007F5332" w:rsidP="00C937AF">
            <w:pPr>
              <w:autoSpaceDE w:val="0"/>
              <w:autoSpaceDN w:val="0"/>
              <w:adjustRightInd w:val="0"/>
              <w:ind w:right="81" w:firstLine="332"/>
              <w:rPr>
                <w:rFonts w:ascii="Times New Roman" w:eastAsia="Times New Roman" w:hAnsi="Times New Roman" w:cs="Times New Roman"/>
                <w:bCs/>
                <w:color w:val="auto"/>
                <w:sz w:val="24"/>
                <w:szCs w:val="24"/>
                <w:lang w:val="ro-MD"/>
              </w:rPr>
            </w:pPr>
            <w:r w:rsidRPr="00C937AF">
              <w:rPr>
                <w:rFonts w:ascii="Times New Roman" w:hAnsi="Times New Roman" w:cs="Times New Roman"/>
                <w:color w:val="auto"/>
                <w:sz w:val="24"/>
                <w:szCs w:val="24"/>
                <w:lang w:val="ro-MD"/>
              </w:rPr>
              <w:t xml:space="preserve">Totodată, pentru </w:t>
            </w:r>
            <w:r w:rsidR="00C937AF" w:rsidRPr="00C937AF">
              <w:rPr>
                <w:rFonts w:ascii="Times New Roman" w:hAnsi="Times New Roman" w:cs="Times New Roman"/>
                <w:color w:val="auto"/>
                <w:sz w:val="24"/>
                <w:szCs w:val="24"/>
                <w:lang w:val="ro-MD"/>
              </w:rPr>
              <w:t xml:space="preserve">a respecta dreptul fundamental al salariaților din domeniul învățământului de a fi remunerați în funcție de nivelul de calificare și calificarea atribuită și a nu fi </w:t>
            </w:r>
            <w:r w:rsidRPr="00C937AF">
              <w:rPr>
                <w:rFonts w:ascii="Times New Roman" w:hAnsi="Times New Roman" w:cs="Times New Roman"/>
                <w:color w:val="auto"/>
                <w:sz w:val="24"/>
                <w:szCs w:val="24"/>
                <w:lang w:val="ro-MD"/>
              </w:rPr>
              <w:t xml:space="preserve"> pasibile reducerii </w:t>
            </w:r>
            <w:r w:rsidRPr="00C937AF">
              <w:rPr>
                <w:rFonts w:ascii="Times New Roman" w:hAnsi="Times New Roman" w:cs="Times New Roman"/>
                <w:color w:val="auto"/>
                <w:sz w:val="24"/>
                <w:szCs w:val="24"/>
                <w:lang w:val="ro-MD"/>
              </w:rPr>
              <w:lastRenderedPageBreak/>
              <w:t>salariului cu 5 clase de salarizare</w:t>
            </w:r>
            <w:r w:rsidRPr="00C937AF">
              <w:rPr>
                <w:rFonts w:ascii="Times New Roman" w:hAnsi="Times New Roman" w:cs="Times New Roman"/>
                <w:color w:val="auto"/>
                <w:sz w:val="24"/>
                <w:szCs w:val="24"/>
                <w:lang w:val="ro-MD"/>
              </w:rPr>
              <w:t xml:space="preserve"> </w:t>
            </w:r>
            <w:r w:rsidRPr="00C937AF">
              <w:rPr>
                <w:rFonts w:ascii="Times New Roman" w:hAnsi="Times New Roman" w:cs="Times New Roman"/>
                <w:color w:val="auto"/>
                <w:sz w:val="24"/>
                <w:szCs w:val="24"/>
                <w:lang w:val="ro-MD"/>
              </w:rPr>
              <w:t>conform art. 12 alin. (9) din Legea 270</w:t>
            </w:r>
            <w:r w:rsidR="00C937AF" w:rsidRPr="00C937AF">
              <w:rPr>
                <w:rFonts w:ascii="Times New Roman" w:hAnsi="Times New Roman" w:cs="Times New Roman"/>
                <w:color w:val="auto"/>
                <w:sz w:val="24"/>
                <w:szCs w:val="24"/>
                <w:lang w:val="ro-MD"/>
              </w:rPr>
              <w:t>/</w:t>
            </w:r>
            <w:r w:rsidRPr="00C937AF">
              <w:rPr>
                <w:rFonts w:ascii="Times New Roman" w:hAnsi="Times New Roman" w:cs="Times New Roman"/>
                <w:color w:val="auto"/>
                <w:sz w:val="24"/>
                <w:szCs w:val="24"/>
                <w:lang w:val="ro-MD"/>
              </w:rPr>
              <w:t xml:space="preserve">2018 privind sistemul unitar de salarizare </w:t>
            </w:r>
            <w:r w:rsidR="00C937AF" w:rsidRPr="00C937AF">
              <w:rPr>
                <w:rFonts w:ascii="Times New Roman" w:hAnsi="Times New Roman" w:cs="Times New Roman"/>
                <w:color w:val="auto"/>
                <w:sz w:val="24"/>
                <w:szCs w:val="24"/>
                <w:lang w:val="ro-MD"/>
              </w:rPr>
              <w:t>î</w:t>
            </w:r>
            <w:r w:rsidRPr="00C937AF">
              <w:rPr>
                <w:rFonts w:ascii="Times New Roman" w:hAnsi="Times New Roman" w:cs="Times New Roman"/>
                <w:color w:val="auto"/>
                <w:sz w:val="24"/>
                <w:szCs w:val="24"/>
                <w:lang w:val="ro-MD"/>
              </w:rPr>
              <w:t>n sectorul</w:t>
            </w:r>
            <w:r w:rsidRPr="00C937AF">
              <w:rPr>
                <w:rFonts w:ascii="Times New Roman" w:hAnsi="Times New Roman" w:cs="Times New Roman"/>
                <w:color w:val="auto"/>
                <w:sz w:val="24"/>
                <w:szCs w:val="24"/>
                <w:lang w:val="ro-MD"/>
              </w:rPr>
              <w:t xml:space="preserve"> </w:t>
            </w:r>
            <w:r w:rsidRPr="00C937AF">
              <w:rPr>
                <w:rFonts w:ascii="Times New Roman" w:hAnsi="Times New Roman" w:cs="Times New Roman"/>
                <w:color w:val="auto"/>
                <w:sz w:val="24"/>
                <w:szCs w:val="24"/>
                <w:lang w:val="ro-MD"/>
              </w:rPr>
              <w:t>bugetar</w:t>
            </w:r>
            <w:r w:rsidR="00C937AF" w:rsidRPr="00C937AF">
              <w:rPr>
                <w:rFonts w:ascii="Times New Roman" w:hAnsi="Times New Roman" w:cs="Times New Roman"/>
                <w:color w:val="auto"/>
                <w:sz w:val="24"/>
                <w:szCs w:val="24"/>
                <w:lang w:val="ro-MD"/>
              </w:rPr>
              <w:t xml:space="preserve"> </w:t>
            </w:r>
            <w:r w:rsidRPr="00C937AF">
              <w:rPr>
                <w:rFonts w:ascii="Times New Roman" w:hAnsi="Times New Roman" w:cs="Times New Roman"/>
                <w:color w:val="auto"/>
                <w:sz w:val="24"/>
                <w:szCs w:val="24"/>
                <w:lang w:val="ro-MD"/>
              </w:rPr>
              <w:t>este esențial ca prezenta hotărâre să intre în vigoare la data publicării în Monitorul Oficial.</w:t>
            </w:r>
          </w:p>
        </w:tc>
      </w:tr>
      <w:tr w:rsidR="00C937AF" w:rsidRPr="00C937AF" w14:paraId="2472ED17" w14:textId="77777777" w:rsidTr="00C54945">
        <w:tc>
          <w:tcPr>
            <w:tcW w:w="962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667B54D9" w14:textId="77777777" w:rsidR="00E8642F" w:rsidRPr="00C937AF" w:rsidRDefault="000B3C50" w:rsidP="00B01D43">
            <w:pPr>
              <w:spacing w:line="276" w:lineRule="auto"/>
              <w:rPr>
                <w:rFonts w:ascii="Times New Roman" w:eastAsia="Times New Roman" w:hAnsi="Times New Roman" w:cs="Times New Roman"/>
                <w:b/>
                <w:color w:val="auto"/>
                <w:sz w:val="24"/>
                <w:szCs w:val="24"/>
                <w:lang w:val="ro-MD"/>
              </w:rPr>
            </w:pPr>
            <w:r w:rsidRPr="00C937AF">
              <w:rPr>
                <w:rFonts w:ascii="Times New Roman" w:eastAsia="Times New Roman" w:hAnsi="Times New Roman" w:cs="Times New Roman"/>
                <w:b/>
                <w:color w:val="auto"/>
                <w:sz w:val="24"/>
                <w:szCs w:val="24"/>
                <w:lang w:val="ro-MD"/>
              </w:rPr>
              <w:lastRenderedPageBreak/>
              <w:t>3. Obiectivele urmărite și soluțiile propuse</w:t>
            </w:r>
          </w:p>
        </w:tc>
      </w:tr>
      <w:tr w:rsidR="00C937AF" w:rsidRPr="00C937AF" w14:paraId="1FF100BA" w14:textId="77777777" w:rsidTr="00C54945">
        <w:tc>
          <w:tcPr>
            <w:tcW w:w="9629"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67FE402E" w14:textId="77777777" w:rsidR="00E8642F" w:rsidRPr="00C937AF" w:rsidRDefault="000B3C50" w:rsidP="00B01D43">
            <w:pPr>
              <w:spacing w:line="276" w:lineRule="auto"/>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3.1. Principalele prevederi ale proiectului și evidențierea elementelor noi</w:t>
            </w:r>
          </w:p>
        </w:tc>
      </w:tr>
      <w:tr w:rsidR="00C937AF" w:rsidRPr="00C937AF" w14:paraId="23458ACD" w14:textId="77777777" w:rsidTr="00C54945">
        <w:trPr>
          <w:trHeight w:val="630"/>
        </w:trPr>
        <w:tc>
          <w:tcPr>
            <w:tcW w:w="962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995FB0" w14:textId="3A69062A" w:rsidR="0047757C" w:rsidRPr="00C937AF" w:rsidRDefault="000B3C50" w:rsidP="0047757C">
            <w:pPr>
              <w:pStyle w:val="NormalWeb"/>
              <w:shd w:val="clear" w:color="auto" w:fill="FFFFFF"/>
              <w:spacing w:before="120" w:after="120"/>
              <w:ind w:right="54" w:firstLine="317"/>
              <w:rPr>
                <w:rFonts w:ascii="Times New Roman" w:hAnsi="Times New Roman" w:cs="Times New Roman"/>
                <w:color w:val="auto"/>
                <w:lang w:val="ro-MD"/>
              </w:rPr>
            </w:pPr>
            <w:r w:rsidRPr="00C937AF">
              <w:rPr>
                <w:rFonts w:ascii="Times New Roman" w:eastAsia="Times New Roman" w:hAnsi="Times New Roman" w:cs="Times New Roman"/>
                <w:color w:val="auto"/>
                <w:lang w:val="ro-MD"/>
              </w:rPr>
              <w:t xml:space="preserve">Proiectul </w:t>
            </w:r>
            <w:r w:rsidR="008048AD" w:rsidRPr="00C937AF">
              <w:rPr>
                <w:rFonts w:ascii="Times New Roman" w:eastAsia="Times New Roman" w:hAnsi="Times New Roman" w:cs="Times New Roman"/>
                <w:color w:val="auto"/>
                <w:lang w:val="ro-MD"/>
              </w:rPr>
              <w:t xml:space="preserve">prevede modificarea </w:t>
            </w:r>
            <w:r w:rsidR="0047757C" w:rsidRPr="00C937AF">
              <w:rPr>
                <w:rFonts w:ascii="Times New Roman" w:eastAsia="Times New Roman" w:hAnsi="Times New Roman" w:cs="Times New Roman"/>
                <w:color w:val="auto"/>
                <w:lang w:val="ro-MD"/>
              </w:rPr>
              <w:t>pct. 52 din Anexa 1 la Hotărârea Guvernului nr. 330/2023 facilitând accesul la programe de calificare parțială (</w:t>
            </w:r>
            <w:proofErr w:type="spellStart"/>
            <w:r w:rsidR="0047757C" w:rsidRPr="00C937AF">
              <w:rPr>
                <w:rFonts w:ascii="Times New Roman" w:eastAsia="Times New Roman" w:hAnsi="Times New Roman" w:cs="Times New Roman"/>
                <w:color w:val="auto"/>
                <w:lang w:val="ro-MD"/>
              </w:rPr>
              <w:t>microalificare</w:t>
            </w:r>
            <w:proofErr w:type="spellEnd"/>
            <w:r w:rsidR="0047757C" w:rsidRPr="00C937AF">
              <w:rPr>
                <w:rFonts w:ascii="Times New Roman" w:eastAsia="Times New Roman" w:hAnsi="Times New Roman" w:cs="Times New Roman"/>
                <w:color w:val="auto"/>
                <w:lang w:val="ro-MD"/>
              </w:rPr>
              <w:t xml:space="preserve">) </w:t>
            </w:r>
            <w:r w:rsidR="00F83D0A" w:rsidRPr="00C937AF">
              <w:rPr>
                <w:rFonts w:ascii="Times New Roman" w:eastAsia="Times New Roman" w:hAnsi="Times New Roman" w:cs="Times New Roman"/>
                <w:color w:val="auto"/>
                <w:lang w:val="ro-MD"/>
              </w:rPr>
              <w:t>la diferite nivele de învățare</w:t>
            </w:r>
            <w:r w:rsidR="0047757C" w:rsidRPr="00C937AF">
              <w:rPr>
                <w:rFonts w:ascii="Times New Roman" w:hAnsi="Times New Roman" w:cs="Times New Roman"/>
                <w:color w:val="auto"/>
                <w:lang w:val="ro-MD"/>
              </w:rPr>
              <w:t>:</w:t>
            </w:r>
          </w:p>
          <w:p w14:paraId="6BF8CFCE" w14:textId="77777777" w:rsidR="0047757C" w:rsidRPr="00C937AF" w:rsidRDefault="0047757C" w:rsidP="0047757C">
            <w:pPr>
              <w:ind w:left="567" w:right="54" w:hanging="230"/>
              <w:rPr>
                <w:rFonts w:ascii="Times New Roman" w:hAnsi="Times New Roman" w:cs="Times New Roman"/>
                <w:bCs/>
                <w:color w:val="auto"/>
                <w:sz w:val="24"/>
                <w:szCs w:val="24"/>
                <w:lang w:val="ro-MD"/>
              </w:rPr>
            </w:pPr>
            <w:r w:rsidRPr="00C937AF">
              <w:rPr>
                <w:rFonts w:ascii="Times New Roman" w:hAnsi="Times New Roman" w:cs="Times New Roman"/>
                <w:color w:val="auto"/>
                <w:sz w:val="24"/>
                <w:szCs w:val="24"/>
                <w:lang w:val="ro-MD"/>
              </w:rPr>
              <w:t>- programe de calificare parțială (</w:t>
            </w:r>
            <w:proofErr w:type="spellStart"/>
            <w:r w:rsidRPr="00C937AF">
              <w:rPr>
                <w:rFonts w:ascii="Times New Roman" w:hAnsi="Times New Roman" w:cs="Times New Roman"/>
                <w:color w:val="auto"/>
                <w:sz w:val="24"/>
                <w:szCs w:val="24"/>
                <w:lang w:val="ro-MD"/>
              </w:rPr>
              <w:t>microcalificare</w:t>
            </w:r>
            <w:proofErr w:type="spellEnd"/>
            <w:r w:rsidRPr="00C937AF">
              <w:rPr>
                <w:rFonts w:ascii="Times New Roman" w:hAnsi="Times New Roman" w:cs="Times New Roman"/>
                <w:color w:val="auto"/>
                <w:sz w:val="24"/>
                <w:szCs w:val="24"/>
                <w:lang w:val="ro-MD"/>
              </w:rPr>
              <w:t xml:space="preserve">) de nivel 4 CNC (învățământ profesional tehnic </w:t>
            </w:r>
            <w:proofErr w:type="spellStart"/>
            <w:r w:rsidRPr="00C937AF">
              <w:rPr>
                <w:rFonts w:ascii="Times New Roman" w:hAnsi="Times New Roman" w:cs="Times New Roman"/>
                <w:color w:val="auto"/>
                <w:sz w:val="24"/>
                <w:szCs w:val="24"/>
                <w:lang w:val="ro-MD"/>
              </w:rPr>
              <w:t>postsecundar</w:t>
            </w:r>
            <w:proofErr w:type="spellEnd"/>
            <w:r w:rsidRPr="00C937AF">
              <w:rPr>
                <w:rFonts w:ascii="Times New Roman" w:hAnsi="Times New Roman" w:cs="Times New Roman"/>
                <w:color w:val="auto"/>
                <w:sz w:val="24"/>
                <w:szCs w:val="24"/>
                <w:lang w:val="ro-MD"/>
              </w:rPr>
              <w:t>) pentru titularii</w:t>
            </w:r>
            <w:r w:rsidRPr="00C937AF">
              <w:rPr>
                <w:rFonts w:ascii="Times New Roman" w:hAnsi="Times New Roman" w:cs="Times New Roman"/>
                <w:bCs/>
                <w:color w:val="auto"/>
                <w:sz w:val="24"/>
                <w:szCs w:val="24"/>
                <w:lang w:val="ro-MD"/>
              </w:rPr>
              <w:t xml:space="preserve"> Certificatului de studii liceale;</w:t>
            </w:r>
          </w:p>
          <w:p w14:paraId="43490F1E" w14:textId="77777777" w:rsidR="0047757C" w:rsidRPr="00C937AF" w:rsidRDefault="0047757C" w:rsidP="0047757C">
            <w:pPr>
              <w:ind w:left="567" w:right="54" w:hanging="230"/>
              <w:rPr>
                <w:rFonts w:ascii="Times New Roman" w:hAnsi="Times New Roman" w:cs="Times New Roman"/>
                <w:bCs/>
                <w:color w:val="auto"/>
                <w:sz w:val="24"/>
                <w:szCs w:val="24"/>
                <w:lang w:val="ro-MD"/>
              </w:rPr>
            </w:pPr>
            <w:r w:rsidRPr="00C937AF">
              <w:rPr>
                <w:rFonts w:ascii="Times New Roman" w:hAnsi="Times New Roman" w:cs="Times New Roman"/>
                <w:color w:val="auto"/>
                <w:sz w:val="24"/>
                <w:szCs w:val="24"/>
                <w:lang w:val="ro-MD"/>
              </w:rPr>
              <w:t>- programe de calificare parțială (</w:t>
            </w:r>
            <w:proofErr w:type="spellStart"/>
            <w:r w:rsidRPr="00C937AF">
              <w:rPr>
                <w:rFonts w:ascii="Times New Roman" w:hAnsi="Times New Roman" w:cs="Times New Roman"/>
                <w:color w:val="auto"/>
                <w:sz w:val="24"/>
                <w:szCs w:val="24"/>
                <w:lang w:val="ro-MD"/>
              </w:rPr>
              <w:t>microcalificare</w:t>
            </w:r>
            <w:proofErr w:type="spellEnd"/>
            <w:r w:rsidRPr="00C937AF">
              <w:rPr>
                <w:rFonts w:ascii="Times New Roman" w:hAnsi="Times New Roman" w:cs="Times New Roman"/>
                <w:color w:val="auto"/>
                <w:sz w:val="24"/>
                <w:szCs w:val="24"/>
                <w:lang w:val="ro-MD"/>
              </w:rPr>
              <w:t xml:space="preserve">) de nivel 5 CNC (învățământ profesional tehnic </w:t>
            </w:r>
            <w:proofErr w:type="spellStart"/>
            <w:r w:rsidRPr="00C937AF">
              <w:rPr>
                <w:rFonts w:ascii="Times New Roman" w:hAnsi="Times New Roman" w:cs="Times New Roman"/>
                <w:color w:val="auto"/>
                <w:sz w:val="24"/>
                <w:szCs w:val="24"/>
                <w:lang w:val="ro-MD"/>
              </w:rPr>
              <w:t>postsecundar</w:t>
            </w:r>
            <w:proofErr w:type="spellEnd"/>
            <w:r w:rsidRPr="00C937AF">
              <w:rPr>
                <w:rFonts w:ascii="Times New Roman" w:hAnsi="Times New Roman" w:cs="Times New Roman"/>
                <w:color w:val="auto"/>
                <w:sz w:val="24"/>
                <w:szCs w:val="24"/>
                <w:lang w:val="ro-MD"/>
              </w:rPr>
              <w:t xml:space="preserve"> </w:t>
            </w:r>
            <w:proofErr w:type="spellStart"/>
            <w:r w:rsidRPr="00C937AF">
              <w:rPr>
                <w:rFonts w:ascii="Times New Roman" w:hAnsi="Times New Roman" w:cs="Times New Roman"/>
                <w:color w:val="auto"/>
                <w:sz w:val="24"/>
                <w:szCs w:val="24"/>
                <w:lang w:val="ro-MD"/>
              </w:rPr>
              <w:t>nonterțiar</w:t>
            </w:r>
            <w:proofErr w:type="spellEnd"/>
            <w:r w:rsidRPr="00C937AF">
              <w:rPr>
                <w:rFonts w:ascii="Times New Roman" w:hAnsi="Times New Roman" w:cs="Times New Roman"/>
                <w:color w:val="auto"/>
                <w:sz w:val="24"/>
                <w:szCs w:val="24"/>
                <w:lang w:val="ro-MD"/>
              </w:rPr>
              <w:t xml:space="preserve">) pentru titularii </w:t>
            </w:r>
            <w:r w:rsidRPr="00C937AF">
              <w:rPr>
                <w:rFonts w:ascii="Times New Roman" w:hAnsi="Times New Roman" w:cs="Times New Roman"/>
                <w:bCs/>
                <w:color w:val="auto"/>
                <w:sz w:val="24"/>
                <w:szCs w:val="24"/>
                <w:lang w:val="ro-MD"/>
              </w:rPr>
              <w:t>Diplomei de bacalaureat/Diplomei de studii profesionale;</w:t>
            </w:r>
          </w:p>
          <w:p w14:paraId="64D5C059" w14:textId="77777777" w:rsidR="0047757C" w:rsidRPr="00C937AF" w:rsidRDefault="0047757C" w:rsidP="0047757C">
            <w:pPr>
              <w:ind w:left="567" w:right="54" w:hanging="230"/>
              <w:rPr>
                <w:rFonts w:ascii="Times New Roman" w:hAnsi="Times New Roman" w:cs="Times New Roman"/>
                <w:bCs/>
                <w:color w:val="auto"/>
                <w:sz w:val="24"/>
                <w:szCs w:val="24"/>
                <w:lang w:val="ro-MD"/>
              </w:rPr>
            </w:pPr>
            <w:r w:rsidRPr="00C937AF">
              <w:rPr>
                <w:rFonts w:ascii="Times New Roman" w:hAnsi="Times New Roman" w:cs="Times New Roman"/>
                <w:color w:val="auto"/>
                <w:sz w:val="24"/>
                <w:szCs w:val="24"/>
                <w:lang w:val="ro-MD"/>
              </w:rPr>
              <w:t>- programe de calificare parțială (</w:t>
            </w:r>
            <w:proofErr w:type="spellStart"/>
            <w:r w:rsidRPr="00C937AF">
              <w:rPr>
                <w:rFonts w:ascii="Times New Roman" w:hAnsi="Times New Roman" w:cs="Times New Roman"/>
                <w:color w:val="auto"/>
                <w:sz w:val="24"/>
                <w:szCs w:val="24"/>
                <w:lang w:val="ro-MD"/>
              </w:rPr>
              <w:t>microcalificare</w:t>
            </w:r>
            <w:proofErr w:type="spellEnd"/>
            <w:r w:rsidRPr="00C937AF">
              <w:rPr>
                <w:rFonts w:ascii="Times New Roman" w:hAnsi="Times New Roman" w:cs="Times New Roman"/>
                <w:color w:val="auto"/>
                <w:sz w:val="24"/>
                <w:szCs w:val="24"/>
                <w:lang w:val="ro-MD"/>
              </w:rPr>
              <w:t xml:space="preserve">) de nivel 6 CNC (studii superioare de licență) pentru titularii </w:t>
            </w:r>
            <w:r w:rsidRPr="00C937AF">
              <w:rPr>
                <w:rFonts w:ascii="Times New Roman" w:hAnsi="Times New Roman" w:cs="Times New Roman"/>
                <w:bCs/>
                <w:color w:val="auto"/>
                <w:sz w:val="24"/>
                <w:szCs w:val="24"/>
                <w:lang w:val="ro-MD"/>
              </w:rPr>
              <w:t>Diplomei de bacalaureat/Diplomei de studii profesionale;</w:t>
            </w:r>
          </w:p>
          <w:p w14:paraId="7740F6FD" w14:textId="1855FC66" w:rsidR="0047757C" w:rsidRPr="00C937AF" w:rsidRDefault="0047757C" w:rsidP="0047757C">
            <w:pPr>
              <w:pStyle w:val="NormalWeb"/>
              <w:shd w:val="clear" w:color="auto" w:fill="FFFFFF"/>
              <w:spacing w:before="120" w:after="120" w:line="276" w:lineRule="auto"/>
              <w:ind w:right="54" w:firstLine="317"/>
              <w:rPr>
                <w:rFonts w:ascii="Times New Roman" w:hAnsi="Times New Roman" w:cs="Times New Roman"/>
                <w:color w:val="auto"/>
                <w:lang w:val="ro-MD"/>
              </w:rPr>
            </w:pPr>
            <w:r w:rsidRPr="00C937AF">
              <w:rPr>
                <w:rFonts w:ascii="Times New Roman" w:hAnsi="Times New Roman" w:cs="Times New Roman"/>
                <w:color w:val="auto"/>
                <w:lang w:val="ro-MD"/>
              </w:rPr>
              <w:t xml:space="preserve">Modificările la </w:t>
            </w:r>
            <w:r w:rsidRPr="00C937AF">
              <w:rPr>
                <w:rFonts w:ascii="Times New Roman" w:hAnsi="Times New Roman" w:cs="Times New Roman"/>
                <w:bCs/>
                <w:color w:val="auto"/>
                <w:lang w:val="ro-MD"/>
              </w:rPr>
              <w:t>Anexa 3 „</w:t>
            </w:r>
            <w:r w:rsidRPr="00C937AF">
              <w:rPr>
                <w:rFonts w:ascii="Times New Roman" w:hAnsi="Times New Roman" w:cs="Times New Roman"/>
                <w:color w:val="auto"/>
                <w:lang w:val="ro-MD"/>
              </w:rPr>
              <w:t>Corespondența dintre actele de studii și de formare profesională eliberate în sistemul național de învățământ, inclusiv până în anul 1991, nivelurile Clasificării Internaționale Standard a Educației, nivelurile C</w:t>
            </w:r>
            <w:r w:rsidRPr="00C937AF">
              <w:rPr>
                <w:rFonts w:ascii="Times New Roman" w:eastAsia="SimSun" w:hAnsi="Times New Roman" w:cs="Times New Roman"/>
                <w:color w:val="auto"/>
                <w:lang w:val="ro-MD" w:eastAsia="zh-CN"/>
              </w:rPr>
              <w:t>adrului Național al Calificărilor și</w:t>
            </w:r>
            <w:r w:rsidRPr="00C937AF">
              <w:rPr>
                <w:rFonts w:ascii="Times New Roman" w:hAnsi="Times New Roman" w:cs="Times New Roman"/>
                <w:color w:val="auto"/>
                <w:lang w:val="ro-MD"/>
              </w:rPr>
              <w:t xml:space="preserve"> nivelurile de referință ale Cadrului European al Calificărilor”:</w:t>
            </w:r>
          </w:p>
          <w:p w14:paraId="12502DE4" w14:textId="071B3FA2" w:rsidR="0047757C" w:rsidRPr="00C937AF" w:rsidRDefault="0047757C" w:rsidP="00F83D0A">
            <w:pPr>
              <w:pStyle w:val="NormalWeb"/>
              <w:numPr>
                <w:ilvl w:val="0"/>
                <w:numId w:val="7"/>
              </w:numPr>
              <w:shd w:val="clear" w:color="auto" w:fill="FFFFFF"/>
              <w:spacing w:before="120" w:after="120" w:line="276" w:lineRule="auto"/>
              <w:ind w:right="54"/>
              <w:rPr>
                <w:rFonts w:ascii="Times New Roman" w:hAnsi="Times New Roman" w:cs="Times New Roman"/>
                <w:color w:val="auto"/>
                <w:lang w:val="ro-MD"/>
              </w:rPr>
            </w:pPr>
            <w:r w:rsidRPr="00C937AF">
              <w:rPr>
                <w:rFonts w:ascii="Times New Roman" w:hAnsi="Times New Roman" w:cs="Times New Roman"/>
                <w:color w:val="auto"/>
                <w:lang w:val="ro-MD"/>
              </w:rPr>
              <w:t xml:space="preserve">echivalează în drepturi titularii actelor de studii din domeniul educației, obținute în sistemul național de învățământ profesional tehnic </w:t>
            </w:r>
            <w:proofErr w:type="spellStart"/>
            <w:r w:rsidRPr="00C937AF">
              <w:rPr>
                <w:rFonts w:ascii="Times New Roman" w:hAnsi="Times New Roman" w:cs="Times New Roman"/>
                <w:color w:val="auto"/>
                <w:lang w:val="ro-MD"/>
              </w:rPr>
              <w:t>postsecundar</w:t>
            </w:r>
            <w:proofErr w:type="spellEnd"/>
            <w:r w:rsidRPr="00C937AF">
              <w:rPr>
                <w:rFonts w:ascii="Times New Roman" w:hAnsi="Times New Roman" w:cs="Times New Roman"/>
                <w:color w:val="auto"/>
                <w:lang w:val="ro-MD"/>
              </w:rPr>
              <w:t xml:space="preserve">, până la aprobarea Hotărârii Guvernului nr.1016/2017 cu privire la aprobarea Cadrului </w:t>
            </w:r>
            <w:proofErr w:type="spellStart"/>
            <w:r w:rsidRPr="00C937AF">
              <w:rPr>
                <w:rFonts w:ascii="Times New Roman" w:hAnsi="Times New Roman" w:cs="Times New Roman"/>
                <w:color w:val="auto"/>
                <w:lang w:val="ro-MD"/>
              </w:rPr>
              <w:t>Naţional</w:t>
            </w:r>
            <w:proofErr w:type="spellEnd"/>
            <w:r w:rsidRPr="00C937AF">
              <w:rPr>
                <w:rFonts w:ascii="Times New Roman" w:hAnsi="Times New Roman" w:cs="Times New Roman"/>
                <w:color w:val="auto"/>
                <w:lang w:val="ro-MD"/>
              </w:rPr>
              <w:t xml:space="preserve"> al Calificărilor din Republica Moldova, conform prevederilor cadrului normativ la momentul admiterii, cu actele de studii de nivel 5 ISCED și, conform art. 132 din Codul educației nr.152/2014, asigură titularului dreptul de a activa conform calificării atribuite”</w:t>
            </w:r>
          </w:p>
          <w:p w14:paraId="7A517D6C" w14:textId="25603E5E" w:rsidR="00B35F1C" w:rsidRPr="00C937AF" w:rsidRDefault="0047757C" w:rsidP="00F83D0A">
            <w:pPr>
              <w:pStyle w:val="ListParagraph"/>
              <w:numPr>
                <w:ilvl w:val="0"/>
                <w:numId w:val="7"/>
              </w:numPr>
              <w:pBdr>
                <w:top w:val="nil"/>
                <w:left w:val="nil"/>
                <w:bottom w:val="nil"/>
                <w:right w:val="nil"/>
                <w:between w:val="nil"/>
              </w:pBdr>
              <w:tabs>
                <w:tab w:val="left" w:pos="426"/>
              </w:tabs>
              <w:spacing w:line="276" w:lineRule="auto"/>
              <w:rPr>
                <w:color w:val="auto"/>
                <w:sz w:val="24"/>
                <w:szCs w:val="24"/>
                <w:lang w:val="ro-MD"/>
              </w:rPr>
            </w:pPr>
            <w:r w:rsidRPr="00C937AF">
              <w:rPr>
                <w:rFonts w:ascii="Times New Roman" w:hAnsi="Times New Roman" w:cs="Times New Roman"/>
                <w:color w:val="auto"/>
                <w:sz w:val="24"/>
                <w:szCs w:val="24"/>
                <w:lang w:val="ro-MD"/>
              </w:rPr>
              <w:t xml:space="preserve">actele de studii cu Seria PTP, care atestă calificările Învățător, Învățător în învățământul primar, Educator, Educator în învățământul preșcolar, Educator în instituții preșcolare și Conducător muzical, eliberate în sistemul național de învățământ profesional tehnic </w:t>
            </w:r>
            <w:proofErr w:type="spellStart"/>
            <w:r w:rsidRPr="00C937AF">
              <w:rPr>
                <w:rFonts w:ascii="Times New Roman" w:hAnsi="Times New Roman" w:cs="Times New Roman"/>
                <w:color w:val="auto"/>
                <w:sz w:val="24"/>
                <w:szCs w:val="24"/>
                <w:lang w:val="ro-MD"/>
              </w:rPr>
              <w:t>postsecundar</w:t>
            </w:r>
            <w:proofErr w:type="spellEnd"/>
            <w:r w:rsidRPr="00C937AF">
              <w:rPr>
                <w:rFonts w:ascii="Times New Roman" w:hAnsi="Times New Roman" w:cs="Times New Roman"/>
                <w:color w:val="auto"/>
                <w:sz w:val="24"/>
                <w:szCs w:val="24"/>
                <w:lang w:val="ro-MD"/>
              </w:rPr>
              <w:t>, până în anul 2025 se echivalează în drepturi cu actele de studii de nivel 5 ISCED și, conform art. 132 din Codul educației nr.152/2014</w:t>
            </w:r>
            <w:r w:rsidR="00F83D0A" w:rsidRPr="00C937AF">
              <w:rPr>
                <w:rFonts w:ascii="Times New Roman" w:hAnsi="Times New Roman" w:cs="Times New Roman"/>
                <w:color w:val="auto"/>
                <w:sz w:val="24"/>
                <w:szCs w:val="24"/>
                <w:lang w:val="ro-MD"/>
              </w:rPr>
              <w:t xml:space="preserve"> și</w:t>
            </w:r>
            <w:r w:rsidRPr="00C937AF">
              <w:rPr>
                <w:rFonts w:ascii="Times New Roman" w:hAnsi="Times New Roman" w:cs="Times New Roman"/>
                <w:color w:val="auto"/>
                <w:sz w:val="24"/>
                <w:szCs w:val="24"/>
                <w:lang w:val="ro-MD"/>
              </w:rPr>
              <w:t xml:space="preserve"> asigură titularului dreptul de a activa conform calificării atribuite.</w:t>
            </w:r>
          </w:p>
        </w:tc>
      </w:tr>
      <w:tr w:rsidR="00C937AF" w:rsidRPr="00C937AF" w14:paraId="6E878494" w14:textId="77777777" w:rsidTr="00C54945">
        <w:trPr>
          <w:trHeight w:val="630"/>
        </w:trPr>
        <w:tc>
          <w:tcPr>
            <w:tcW w:w="9629"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3DEAA9F9" w14:textId="77777777" w:rsidR="00E8642F" w:rsidRPr="00C937AF" w:rsidRDefault="000B3C50" w:rsidP="0047757C">
            <w:pPr>
              <w:spacing w:line="276" w:lineRule="auto"/>
              <w:ind w:firstLine="62"/>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3.2. Opțiunile alternative analizate și motivele pentru care acestea nu au fost luate în considerare</w:t>
            </w:r>
          </w:p>
        </w:tc>
      </w:tr>
      <w:tr w:rsidR="00C937AF" w:rsidRPr="00C937AF" w14:paraId="7F6E0541" w14:textId="77777777" w:rsidTr="00C54945">
        <w:tc>
          <w:tcPr>
            <w:tcW w:w="962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FF61AC6" w14:textId="17515030" w:rsidR="00E8642F" w:rsidRPr="00C937AF" w:rsidRDefault="000B3C50" w:rsidP="0047757C">
            <w:pPr>
              <w:pBdr>
                <w:top w:val="nil"/>
                <w:left w:val="nil"/>
                <w:bottom w:val="nil"/>
                <w:right w:val="nil"/>
                <w:between w:val="nil"/>
              </w:pBdr>
              <w:spacing w:line="276" w:lineRule="auto"/>
              <w:ind w:firstLine="62"/>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Alte opțiuni nu au fost analizate.</w:t>
            </w:r>
          </w:p>
        </w:tc>
      </w:tr>
      <w:tr w:rsidR="00C937AF" w:rsidRPr="00C937AF" w14:paraId="5195FC05" w14:textId="77777777" w:rsidTr="00C54945">
        <w:trPr>
          <w:trHeight w:val="381"/>
        </w:trPr>
        <w:tc>
          <w:tcPr>
            <w:tcW w:w="962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3ACC7AF6" w14:textId="77777777" w:rsidR="00E8642F" w:rsidRPr="00C937AF" w:rsidRDefault="000B3C50" w:rsidP="0047757C">
            <w:pPr>
              <w:spacing w:line="276" w:lineRule="auto"/>
              <w:ind w:firstLine="62"/>
              <w:rPr>
                <w:rFonts w:ascii="Times New Roman" w:eastAsia="Times New Roman" w:hAnsi="Times New Roman" w:cs="Times New Roman"/>
                <w:b/>
                <w:color w:val="auto"/>
                <w:sz w:val="24"/>
                <w:szCs w:val="24"/>
                <w:lang w:val="ro-MD"/>
              </w:rPr>
            </w:pPr>
            <w:r w:rsidRPr="00C937AF">
              <w:rPr>
                <w:rFonts w:ascii="Times New Roman" w:eastAsia="Times New Roman" w:hAnsi="Times New Roman" w:cs="Times New Roman"/>
                <w:b/>
                <w:color w:val="auto"/>
                <w:sz w:val="24"/>
                <w:szCs w:val="24"/>
                <w:lang w:val="ro-MD"/>
              </w:rPr>
              <w:t xml:space="preserve">4. Analiza impactului de reglementare </w:t>
            </w:r>
          </w:p>
        </w:tc>
      </w:tr>
      <w:tr w:rsidR="00C937AF" w:rsidRPr="00C937AF" w14:paraId="40901BBB" w14:textId="77777777" w:rsidTr="00C54945">
        <w:tc>
          <w:tcPr>
            <w:tcW w:w="9629" w:type="dxa"/>
            <w:tcBorders>
              <w:top w:val="nil"/>
              <w:left w:val="single" w:sz="8" w:space="0" w:color="000000"/>
              <w:bottom w:val="single" w:sz="4" w:space="0" w:color="000000"/>
              <w:right w:val="single" w:sz="8" w:space="0" w:color="000000"/>
            </w:tcBorders>
            <w:shd w:val="clear" w:color="auto" w:fill="EDEDED"/>
            <w:tcMar>
              <w:top w:w="0" w:type="dxa"/>
              <w:left w:w="108" w:type="dxa"/>
              <w:bottom w:w="0" w:type="dxa"/>
              <w:right w:w="108" w:type="dxa"/>
            </w:tcMar>
          </w:tcPr>
          <w:p w14:paraId="01F21EB1" w14:textId="77777777" w:rsidR="00E8642F" w:rsidRPr="00C937AF" w:rsidRDefault="000B3C50" w:rsidP="0047757C">
            <w:pPr>
              <w:spacing w:line="276" w:lineRule="auto"/>
              <w:ind w:firstLine="62"/>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4.1. Impactul asupra sectorului public</w:t>
            </w:r>
          </w:p>
        </w:tc>
      </w:tr>
      <w:tr w:rsidR="00C937AF" w:rsidRPr="00C937AF" w14:paraId="44122C07" w14:textId="77777777" w:rsidTr="00C54945">
        <w:tc>
          <w:tcPr>
            <w:tcW w:w="962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84ADF3" w14:textId="78455817" w:rsidR="00E8642F" w:rsidRPr="00C937AF" w:rsidRDefault="00A54FAB" w:rsidP="0047757C">
            <w:pPr>
              <w:spacing w:line="276" w:lineRule="auto"/>
              <w:ind w:firstLine="62"/>
              <w:rPr>
                <w:rFonts w:ascii="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Aprobarea proiectului va</w:t>
            </w:r>
            <w:r w:rsidR="00E139F7" w:rsidRPr="00C937AF">
              <w:rPr>
                <w:rFonts w:ascii="Times New Roman" w:eastAsia="Times New Roman" w:hAnsi="Times New Roman" w:cs="Times New Roman"/>
                <w:color w:val="auto"/>
                <w:sz w:val="24"/>
                <w:szCs w:val="24"/>
                <w:lang w:val="ro-MD"/>
              </w:rPr>
              <w:t xml:space="preserve"> asigura respectarea Normelor stabilite de cadrul normativ aferent </w:t>
            </w:r>
            <w:r w:rsidR="0047757C" w:rsidRPr="00C937AF">
              <w:rPr>
                <w:rFonts w:ascii="Times New Roman" w:eastAsia="Times New Roman" w:hAnsi="Times New Roman" w:cs="Times New Roman"/>
                <w:color w:val="auto"/>
                <w:sz w:val="24"/>
                <w:szCs w:val="24"/>
                <w:lang w:val="ro-MD"/>
              </w:rPr>
              <w:t xml:space="preserve">asigurării condițiilor minime pentru exercitarea </w:t>
            </w:r>
            <w:r w:rsidR="00E139F7" w:rsidRPr="00C937AF">
              <w:rPr>
                <w:rFonts w:ascii="Times New Roman" w:eastAsia="Times New Roman" w:hAnsi="Times New Roman" w:cs="Times New Roman"/>
                <w:color w:val="auto"/>
                <w:sz w:val="24"/>
                <w:szCs w:val="24"/>
                <w:lang w:val="ro-MD"/>
              </w:rPr>
              <w:t xml:space="preserve">funcției </w:t>
            </w:r>
            <w:r w:rsidR="0047757C" w:rsidRPr="00C937AF">
              <w:rPr>
                <w:rFonts w:ascii="Times New Roman" w:eastAsia="Times New Roman" w:hAnsi="Times New Roman" w:cs="Times New Roman"/>
                <w:color w:val="auto"/>
                <w:sz w:val="24"/>
                <w:szCs w:val="24"/>
                <w:lang w:val="ro-MD"/>
              </w:rPr>
              <w:t>didactice</w:t>
            </w:r>
            <w:r w:rsidR="00E139F7" w:rsidRPr="00C937AF">
              <w:rPr>
                <w:rFonts w:ascii="Times New Roman" w:eastAsia="Times New Roman" w:hAnsi="Times New Roman" w:cs="Times New Roman"/>
                <w:color w:val="auto"/>
                <w:sz w:val="24"/>
                <w:szCs w:val="24"/>
                <w:lang w:val="ro-MD"/>
              </w:rPr>
              <w:t>.</w:t>
            </w:r>
          </w:p>
        </w:tc>
      </w:tr>
      <w:tr w:rsidR="00C937AF" w:rsidRPr="00C937AF" w14:paraId="2FB09F6A" w14:textId="77777777" w:rsidTr="00C54945">
        <w:tc>
          <w:tcPr>
            <w:tcW w:w="9629" w:type="dxa"/>
            <w:tcBorders>
              <w:top w:val="nil"/>
              <w:left w:val="single" w:sz="8" w:space="0" w:color="000000"/>
              <w:bottom w:val="single" w:sz="8" w:space="0" w:color="000000"/>
              <w:right w:val="single" w:sz="8" w:space="0" w:color="000000"/>
            </w:tcBorders>
            <w:shd w:val="clear" w:color="auto" w:fill="EDEDED"/>
            <w:tcMar>
              <w:top w:w="0" w:type="dxa"/>
              <w:left w:w="108" w:type="dxa"/>
              <w:bottom w:w="0" w:type="dxa"/>
              <w:right w:w="108" w:type="dxa"/>
            </w:tcMar>
          </w:tcPr>
          <w:p w14:paraId="082FDFFD" w14:textId="77777777" w:rsidR="00E8642F" w:rsidRPr="00C937AF" w:rsidRDefault="000B3C50" w:rsidP="0047757C">
            <w:pPr>
              <w:spacing w:line="276" w:lineRule="auto"/>
              <w:ind w:firstLine="62"/>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4.2. Impactul financiar și argumentarea costurilor estimative</w:t>
            </w:r>
          </w:p>
        </w:tc>
      </w:tr>
      <w:tr w:rsidR="00C937AF" w:rsidRPr="00C937AF" w14:paraId="2D353107" w14:textId="77777777" w:rsidTr="00C54945">
        <w:tc>
          <w:tcPr>
            <w:tcW w:w="962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E06952" w14:textId="52C94CAD" w:rsidR="00471122" w:rsidRPr="00C937AF" w:rsidRDefault="000B3C50" w:rsidP="0047757C">
            <w:pPr>
              <w:spacing w:line="276" w:lineRule="auto"/>
              <w:ind w:firstLine="62"/>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 xml:space="preserve">Punerea în aplicare a actului normativ </w:t>
            </w:r>
            <w:r w:rsidR="00E139F7" w:rsidRPr="00C937AF">
              <w:rPr>
                <w:rFonts w:ascii="Times New Roman" w:eastAsia="Times New Roman" w:hAnsi="Times New Roman" w:cs="Times New Roman"/>
                <w:color w:val="auto"/>
                <w:sz w:val="24"/>
                <w:szCs w:val="24"/>
                <w:lang w:val="ro-MD"/>
              </w:rPr>
              <w:t>nu necesită cheltuieli suplimentare de la bugetul de stat</w:t>
            </w:r>
            <w:r w:rsidR="00944B59" w:rsidRPr="00C937AF">
              <w:rPr>
                <w:rFonts w:ascii="Times New Roman" w:eastAsia="Times New Roman" w:hAnsi="Times New Roman" w:cs="Times New Roman"/>
                <w:color w:val="auto"/>
                <w:sz w:val="24"/>
                <w:szCs w:val="24"/>
                <w:lang w:val="ro-MD"/>
              </w:rPr>
              <w:t>.</w:t>
            </w:r>
            <w:r w:rsidR="00E139F7" w:rsidRPr="00C937AF">
              <w:rPr>
                <w:rFonts w:ascii="Times New Roman" w:eastAsia="Times New Roman" w:hAnsi="Times New Roman" w:cs="Times New Roman"/>
                <w:color w:val="auto"/>
                <w:sz w:val="24"/>
                <w:szCs w:val="24"/>
                <w:lang w:val="ro-MD"/>
              </w:rPr>
              <w:t xml:space="preserve"> </w:t>
            </w:r>
          </w:p>
        </w:tc>
      </w:tr>
      <w:tr w:rsidR="00C937AF" w:rsidRPr="00C937AF" w14:paraId="4FC424B9" w14:textId="77777777" w:rsidTr="00C54945">
        <w:tc>
          <w:tcPr>
            <w:tcW w:w="9629" w:type="dxa"/>
            <w:tcBorders>
              <w:top w:val="nil"/>
              <w:left w:val="single" w:sz="8" w:space="0" w:color="000000"/>
              <w:bottom w:val="single" w:sz="8" w:space="0" w:color="000000"/>
              <w:right w:val="single" w:sz="8" w:space="0" w:color="000000"/>
            </w:tcBorders>
            <w:shd w:val="clear" w:color="auto" w:fill="EDEDED"/>
            <w:tcMar>
              <w:top w:w="0" w:type="dxa"/>
              <w:left w:w="108" w:type="dxa"/>
              <w:bottom w:w="0" w:type="dxa"/>
              <w:right w:w="108" w:type="dxa"/>
            </w:tcMar>
          </w:tcPr>
          <w:p w14:paraId="6CA6A2E5" w14:textId="77777777" w:rsidR="00E8642F" w:rsidRPr="00C937AF" w:rsidRDefault="000B3C50" w:rsidP="0047757C">
            <w:pPr>
              <w:spacing w:line="276" w:lineRule="auto"/>
              <w:ind w:firstLine="62"/>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4.3. Impactul asupra sectorului privat</w:t>
            </w:r>
          </w:p>
        </w:tc>
      </w:tr>
      <w:tr w:rsidR="00C937AF" w:rsidRPr="00C937AF" w14:paraId="4DCA1FA5" w14:textId="77777777" w:rsidTr="00C54945">
        <w:tc>
          <w:tcPr>
            <w:tcW w:w="962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C1BF06" w14:textId="77777777" w:rsidR="00E8642F" w:rsidRPr="00C937AF" w:rsidRDefault="000B3C50" w:rsidP="0047757C">
            <w:pPr>
              <w:spacing w:line="276" w:lineRule="auto"/>
              <w:ind w:firstLine="62"/>
              <w:rPr>
                <w:rFonts w:ascii="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 xml:space="preserve">Nu este aplicabil </w:t>
            </w:r>
          </w:p>
        </w:tc>
      </w:tr>
      <w:tr w:rsidR="00C937AF" w:rsidRPr="00C937AF" w14:paraId="274C0D40" w14:textId="77777777" w:rsidTr="00C54945">
        <w:tc>
          <w:tcPr>
            <w:tcW w:w="9629" w:type="dxa"/>
            <w:tcBorders>
              <w:top w:val="nil"/>
              <w:left w:val="single" w:sz="8" w:space="0" w:color="000000"/>
              <w:bottom w:val="single" w:sz="8" w:space="0" w:color="000000"/>
              <w:right w:val="single" w:sz="8" w:space="0" w:color="000000"/>
            </w:tcBorders>
            <w:shd w:val="clear" w:color="auto" w:fill="EDEDED"/>
            <w:tcMar>
              <w:top w:w="0" w:type="dxa"/>
              <w:left w:w="108" w:type="dxa"/>
              <w:bottom w:w="0" w:type="dxa"/>
              <w:right w:w="108" w:type="dxa"/>
            </w:tcMar>
          </w:tcPr>
          <w:p w14:paraId="5E2CEE4E" w14:textId="77777777" w:rsidR="00E8642F" w:rsidRPr="00C937AF" w:rsidRDefault="000B3C50" w:rsidP="0047757C">
            <w:pPr>
              <w:spacing w:line="276" w:lineRule="auto"/>
              <w:ind w:firstLine="62"/>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4.4. Impactul social</w:t>
            </w:r>
          </w:p>
          <w:p w14:paraId="7CBF1FB7" w14:textId="77777777" w:rsidR="00E8642F" w:rsidRPr="00C937AF" w:rsidRDefault="000B3C50" w:rsidP="0047757C">
            <w:pPr>
              <w:spacing w:line="276" w:lineRule="auto"/>
              <w:ind w:firstLine="62"/>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4.4.1. Impactul asupra datelor cu caracter personal</w:t>
            </w:r>
          </w:p>
          <w:p w14:paraId="4B30B993" w14:textId="77777777" w:rsidR="00E8642F" w:rsidRPr="00C937AF" w:rsidRDefault="000B3C50" w:rsidP="0047757C">
            <w:pPr>
              <w:spacing w:line="276" w:lineRule="auto"/>
              <w:ind w:firstLine="62"/>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4.4.2. Impactul asupra echității și egalității de gen</w:t>
            </w:r>
          </w:p>
        </w:tc>
      </w:tr>
      <w:tr w:rsidR="00C937AF" w:rsidRPr="00C937AF" w14:paraId="7A3E26AC" w14:textId="77777777" w:rsidTr="00C54945">
        <w:tc>
          <w:tcPr>
            <w:tcW w:w="962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A529B7" w14:textId="77777777" w:rsidR="00E8642F" w:rsidRPr="00C937AF" w:rsidRDefault="000B3C50" w:rsidP="0047757C">
            <w:pPr>
              <w:spacing w:line="276" w:lineRule="auto"/>
              <w:ind w:firstLine="62"/>
              <w:rPr>
                <w:rFonts w:ascii="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Proiectul nu prezintă riscuri de discriminare după criterii de gen, apartenență etnică, etc.</w:t>
            </w:r>
          </w:p>
        </w:tc>
      </w:tr>
      <w:tr w:rsidR="00C937AF" w:rsidRPr="00C937AF" w14:paraId="6DC07508" w14:textId="77777777" w:rsidTr="00C54945">
        <w:tc>
          <w:tcPr>
            <w:tcW w:w="9629" w:type="dxa"/>
            <w:tcBorders>
              <w:top w:val="nil"/>
              <w:left w:val="single" w:sz="8" w:space="0" w:color="000000"/>
              <w:bottom w:val="single" w:sz="8" w:space="0" w:color="000000"/>
              <w:right w:val="single" w:sz="8" w:space="0" w:color="000000"/>
            </w:tcBorders>
            <w:shd w:val="clear" w:color="auto" w:fill="EDEDED"/>
            <w:tcMar>
              <w:top w:w="0" w:type="dxa"/>
              <w:left w:w="108" w:type="dxa"/>
              <w:bottom w:w="0" w:type="dxa"/>
              <w:right w:w="108" w:type="dxa"/>
            </w:tcMar>
          </w:tcPr>
          <w:p w14:paraId="3D5E827B" w14:textId="77777777" w:rsidR="00E8642F" w:rsidRPr="00C937AF" w:rsidRDefault="000B3C50" w:rsidP="0047757C">
            <w:pPr>
              <w:spacing w:line="276" w:lineRule="auto"/>
              <w:ind w:firstLine="62"/>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4.5. Impactul asupra mediului</w:t>
            </w:r>
          </w:p>
        </w:tc>
      </w:tr>
      <w:tr w:rsidR="00C937AF" w:rsidRPr="00C937AF" w14:paraId="18CF81EB" w14:textId="77777777" w:rsidTr="00C54945">
        <w:tc>
          <w:tcPr>
            <w:tcW w:w="962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56B7A2" w14:textId="77777777" w:rsidR="00E8642F" w:rsidRPr="00C937AF" w:rsidRDefault="000B3C50" w:rsidP="0047757C">
            <w:pPr>
              <w:spacing w:line="276" w:lineRule="auto"/>
              <w:ind w:firstLine="62"/>
              <w:rPr>
                <w:rFonts w:ascii="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lastRenderedPageBreak/>
              <w:t>Nu este aplicabil.</w:t>
            </w:r>
          </w:p>
        </w:tc>
      </w:tr>
      <w:tr w:rsidR="00C937AF" w:rsidRPr="00C937AF" w14:paraId="06382D76" w14:textId="77777777" w:rsidTr="00C54945">
        <w:tc>
          <w:tcPr>
            <w:tcW w:w="9629" w:type="dxa"/>
            <w:tcBorders>
              <w:top w:val="nil"/>
              <w:left w:val="single" w:sz="8" w:space="0" w:color="000000"/>
              <w:bottom w:val="single" w:sz="8" w:space="0" w:color="000000"/>
              <w:right w:val="single" w:sz="8" w:space="0" w:color="000000"/>
            </w:tcBorders>
            <w:shd w:val="clear" w:color="auto" w:fill="EDEDED"/>
            <w:tcMar>
              <w:top w:w="0" w:type="dxa"/>
              <w:left w:w="108" w:type="dxa"/>
              <w:bottom w:w="0" w:type="dxa"/>
              <w:right w:w="108" w:type="dxa"/>
            </w:tcMar>
          </w:tcPr>
          <w:p w14:paraId="6BB7D375" w14:textId="77777777" w:rsidR="00E8642F" w:rsidRPr="00C937AF" w:rsidRDefault="000B3C50" w:rsidP="0047757C">
            <w:pPr>
              <w:spacing w:line="276" w:lineRule="auto"/>
              <w:ind w:firstLine="62"/>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4.6. Alte impacturi și informații relevante</w:t>
            </w:r>
          </w:p>
        </w:tc>
      </w:tr>
      <w:tr w:rsidR="00C937AF" w:rsidRPr="00C937AF" w14:paraId="340F95F2" w14:textId="77777777" w:rsidTr="00C54945">
        <w:tc>
          <w:tcPr>
            <w:tcW w:w="962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7F81A23" w14:textId="0E9DB22E" w:rsidR="00E8642F" w:rsidRPr="00C937AF" w:rsidRDefault="00E139F7" w:rsidP="0047757C">
            <w:pPr>
              <w:spacing w:line="276" w:lineRule="auto"/>
              <w:ind w:firstLine="62"/>
              <w:rPr>
                <w:rFonts w:ascii="Times New Roman" w:eastAsia="Times New Roman" w:hAnsi="Times New Roman" w:cs="Times New Roman"/>
                <w:color w:val="auto"/>
                <w:sz w:val="24"/>
                <w:szCs w:val="24"/>
                <w:lang w:val="ro-MD"/>
              </w:rPr>
            </w:pPr>
            <w:bookmarkStart w:id="1" w:name="_heading=h.gjdgxs" w:colFirst="0" w:colLast="0"/>
            <w:bookmarkEnd w:id="1"/>
            <w:r w:rsidRPr="00C937AF">
              <w:rPr>
                <w:rFonts w:ascii="Times New Roman" w:eastAsia="Times New Roman" w:hAnsi="Times New Roman" w:cs="Times New Roman"/>
                <w:color w:val="auto"/>
                <w:sz w:val="24"/>
                <w:szCs w:val="24"/>
                <w:lang w:val="ro-MD"/>
              </w:rPr>
              <w:t>Nu este aplicabil</w:t>
            </w:r>
          </w:p>
        </w:tc>
      </w:tr>
      <w:tr w:rsidR="00C937AF" w:rsidRPr="00C937AF" w14:paraId="4F140BBF" w14:textId="77777777" w:rsidTr="00C54945">
        <w:tc>
          <w:tcPr>
            <w:tcW w:w="962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54F82799" w14:textId="77777777" w:rsidR="00E8642F" w:rsidRPr="00C937AF" w:rsidRDefault="000B3C50" w:rsidP="0047757C">
            <w:pPr>
              <w:spacing w:line="276" w:lineRule="auto"/>
              <w:ind w:firstLine="62"/>
              <w:rPr>
                <w:rFonts w:ascii="Times New Roman" w:eastAsia="Times New Roman" w:hAnsi="Times New Roman" w:cs="Times New Roman"/>
                <w:b/>
                <w:color w:val="auto"/>
                <w:sz w:val="24"/>
                <w:szCs w:val="24"/>
                <w:lang w:val="ro-MD"/>
              </w:rPr>
            </w:pPr>
            <w:r w:rsidRPr="00C937AF">
              <w:rPr>
                <w:rFonts w:ascii="Times New Roman" w:eastAsia="Times New Roman" w:hAnsi="Times New Roman" w:cs="Times New Roman"/>
                <w:b/>
                <w:color w:val="auto"/>
                <w:sz w:val="24"/>
                <w:szCs w:val="24"/>
                <w:lang w:val="ro-MD"/>
              </w:rPr>
              <w:t xml:space="preserve">5. Compatibilitatea proiectului actului normativ cu legislația UE </w:t>
            </w:r>
          </w:p>
        </w:tc>
      </w:tr>
      <w:tr w:rsidR="00C937AF" w:rsidRPr="00C937AF" w14:paraId="3A036EB7" w14:textId="77777777" w:rsidTr="00C54945">
        <w:trPr>
          <w:trHeight w:val="623"/>
        </w:trPr>
        <w:tc>
          <w:tcPr>
            <w:tcW w:w="9629" w:type="dxa"/>
            <w:tcBorders>
              <w:top w:val="nil"/>
              <w:left w:val="single" w:sz="8" w:space="0" w:color="000000"/>
              <w:bottom w:val="single" w:sz="8" w:space="0" w:color="000000"/>
              <w:right w:val="single" w:sz="8" w:space="0" w:color="000000"/>
            </w:tcBorders>
            <w:shd w:val="clear" w:color="auto" w:fill="EDEDED"/>
            <w:tcMar>
              <w:top w:w="0" w:type="dxa"/>
              <w:left w:w="108" w:type="dxa"/>
              <w:bottom w:w="0" w:type="dxa"/>
              <w:right w:w="108" w:type="dxa"/>
            </w:tcMar>
          </w:tcPr>
          <w:p w14:paraId="4F137F32" w14:textId="77777777" w:rsidR="00E8642F" w:rsidRPr="00C937AF" w:rsidRDefault="000B3C50" w:rsidP="0047757C">
            <w:pPr>
              <w:spacing w:line="276" w:lineRule="auto"/>
              <w:ind w:firstLine="62"/>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5.1. Măsuri normative necesare pentru transpunerea actelor juridice ale UE în legislația națională</w:t>
            </w:r>
          </w:p>
        </w:tc>
      </w:tr>
      <w:tr w:rsidR="00C937AF" w:rsidRPr="00C937AF" w14:paraId="1A030798" w14:textId="77777777" w:rsidTr="00C54945">
        <w:tc>
          <w:tcPr>
            <w:tcW w:w="962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BB3C3F" w14:textId="77777777" w:rsidR="00E8642F" w:rsidRPr="00C937AF" w:rsidRDefault="000B3C50" w:rsidP="0047757C">
            <w:pPr>
              <w:spacing w:line="276" w:lineRule="auto"/>
              <w:ind w:firstLine="62"/>
              <w:rPr>
                <w:rFonts w:ascii="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 xml:space="preserve">Nu este aplicabil </w:t>
            </w:r>
          </w:p>
        </w:tc>
      </w:tr>
      <w:tr w:rsidR="00C937AF" w:rsidRPr="00C937AF" w14:paraId="1D3F2900" w14:textId="77777777" w:rsidTr="00C54945">
        <w:tc>
          <w:tcPr>
            <w:tcW w:w="9629" w:type="dxa"/>
            <w:tcBorders>
              <w:top w:val="nil"/>
              <w:left w:val="single" w:sz="8" w:space="0" w:color="000000"/>
              <w:bottom w:val="single" w:sz="8" w:space="0" w:color="000000"/>
              <w:right w:val="single" w:sz="8" w:space="0" w:color="000000"/>
            </w:tcBorders>
            <w:shd w:val="clear" w:color="auto" w:fill="EDEDED"/>
            <w:tcMar>
              <w:top w:w="0" w:type="dxa"/>
              <w:left w:w="108" w:type="dxa"/>
              <w:bottom w:w="0" w:type="dxa"/>
              <w:right w:w="108" w:type="dxa"/>
            </w:tcMar>
          </w:tcPr>
          <w:p w14:paraId="0147095F" w14:textId="77777777" w:rsidR="00E8642F" w:rsidRPr="00C937AF" w:rsidRDefault="000B3C50" w:rsidP="0047757C">
            <w:pPr>
              <w:spacing w:line="276" w:lineRule="auto"/>
              <w:ind w:firstLine="62"/>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5.2. Măsuri normative care urmăresc crearea cadrului juridic intern necesar pentru implementarea legislației UE</w:t>
            </w:r>
          </w:p>
        </w:tc>
      </w:tr>
      <w:tr w:rsidR="00C937AF" w:rsidRPr="00C937AF" w14:paraId="0454CD85" w14:textId="77777777" w:rsidTr="00C54945">
        <w:tc>
          <w:tcPr>
            <w:tcW w:w="962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B14B447" w14:textId="77777777" w:rsidR="00E8642F" w:rsidRPr="00C937AF" w:rsidRDefault="000B3C50" w:rsidP="0047757C">
            <w:pPr>
              <w:spacing w:line="276" w:lineRule="auto"/>
              <w:ind w:firstLine="62"/>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 xml:space="preserve">Nu este aplicabil </w:t>
            </w:r>
          </w:p>
        </w:tc>
      </w:tr>
      <w:tr w:rsidR="00C937AF" w:rsidRPr="00C937AF" w14:paraId="40123F6D" w14:textId="77777777" w:rsidTr="00C54945">
        <w:tc>
          <w:tcPr>
            <w:tcW w:w="9629" w:type="dxa"/>
            <w:tcBorders>
              <w:top w:val="nil"/>
              <w:left w:val="single" w:sz="8" w:space="0" w:color="000000"/>
              <w:bottom w:val="single" w:sz="4" w:space="0" w:color="000000"/>
              <w:right w:val="single" w:sz="8" w:space="0" w:color="000000"/>
            </w:tcBorders>
            <w:shd w:val="clear" w:color="auto" w:fill="BFBFBF"/>
            <w:tcMar>
              <w:top w:w="0" w:type="dxa"/>
              <w:left w:w="108" w:type="dxa"/>
              <w:bottom w:w="0" w:type="dxa"/>
              <w:right w:w="108" w:type="dxa"/>
            </w:tcMar>
          </w:tcPr>
          <w:p w14:paraId="445D083F" w14:textId="77777777" w:rsidR="00E8642F" w:rsidRPr="00C937AF" w:rsidRDefault="000B3C50" w:rsidP="0047757C">
            <w:pPr>
              <w:spacing w:line="276" w:lineRule="auto"/>
              <w:ind w:firstLine="62"/>
              <w:rPr>
                <w:rFonts w:ascii="Times New Roman" w:eastAsia="Times New Roman" w:hAnsi="Times New Roman" w:cs="Times New Roman"/>
                <w:b/>
                <w:color w:val="auto"/>
                <w:sz w:val="24"/>
                <w:szCs w:val="24"/>
                <w:lang w:val="ro-MD"/>
              </w:rPr>
            </w:pPr>
            <w:r w:rsidRPr="00C937AF">
              <w:rPr>
                <w:rFonts w:ascii="Times New Roman" w:eastAsia="Times New Roman" w:hAnsi="Times New Roman" w:cs="Times New Roman"/>
                <w:b/>
                <w:color w:val="auto"/>
                <w:sz w:val="24"/>
                <w:szCs w:val="24"/>
                <w:lang w:val="ro-MD"/>
              </w:rPr>
              <w:t>6. Avizarea și consultarea publică a proiectului actului normativ</w:t>
            </w:r>
          </w:p>
        </w:tc>
      </w:tr>
      <w:tr w:rsidR="00C937AF" w:rsidRPr="00C937AF" w14:paraId="7BA1D88B" w14:textId="77777777" w:rsidTr="00C54945">
        <w:tc>
          <w:tcPr>
            <w:tcW w:w="9629" w:type="dxa"/>
            <w:tcBorders>
              <w:top w:val="singl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567516C" w14:textId="77777777" w:rsidR="00E8642F" w:rsidRPr="00C937AF" w:rsidRDefault="000B3C50" w:rsidP="00BD4C47">
            <w:pPr>
              <w:spacing w:line="276" w:lineRule="auto"/>
              <w:ind w:firstLine="0"/>
              <w:rPr>
                <w:rFonts w:ascii="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 xml:space="preserve">În vederea respectării prevederilor Legii nr. 239/2008 privind transparența în procesul decizional, pe pagina web oficială a Ministerului Educației și Cercetării </w:t>
            </w:r>
            <w:hyperlink r:id="rId8">
              <w:r w:rsidRPr="00C937AF">
                <w:rPr>
                  <w:rFonts w:ascii="Times New Roman" w:eastAsia="Times New Roman" w:hAnsi="Times New Roman" w:cs="Times New Roman"/>
                  <w:color w:val="auto"/>
                  <w:sz w:val="24"/>
                  <w:szCs w:val="24"/>
                  <w:lang w:val="ro-MD"/>
                </w:rPr>
                <w:t>www.mec.gov.md</w:t>
              </w:r>
            </w:hyperlink>
            <w:r w:rsidRPr="00C937AF">
              <w:rPr>
                <w:rFonts w:ascii="Times New Roman" w:eastAsia="Times New Roman" w:hAnsi="Times New Roman" w:cs="Times New Roman"/>
                <w:color w:val="auto"/>
                <w:sz w:val="24"/>
                <w:szCs w:val="24"/>
                <w:lang w:val="ro-MD"/>
              </w:rPr>
              <w:t xml:space="preserve">, compartimentul Transparența decizională și pe platforma guvernamentală </w:t>
            </w:r>
            <w:hyperlink r:id="rId9">
              <w:r w:rsidRPr="00C937AF">
                <w:rPr>
                  <w:rFonts w:ascii="Times New Roman" w:eastAsia="Times New Roman" w:hAnsi="Times New Roman" w:cs="Times New Roman"/>
                  <w:color w:val="auto"/>
                  <w:sz w:val="24"/>
                  <w:szCs w:val="24"/>
                  <w:lang w:val="ro-MD"/>
                </w:rPr>
                <w:t>www.particip.md</w:t>
              </w:r>
            </w:hyperlink>
            <w:r w:rsidRPr="00C937AF">
              <w:rPr>
                <w:rFonts w:ascii="Times New Roman" w:eastAsia="Times New Roman" w:hAnsi="Times New Roman" w:cs="Times New Roman"/>
                <w:color w:val="auto"/>
                <w:sz w:val="24"/>
                <w:szCs w:val="24"/>
                <w:lang w:val="ro-MD"/>
              </w:rPr>
              <w:t xml:space="preserve">, </w:t>
            </w:r>
            <w:r w:rsidR="00BD4C47" w:rsidRPr="00C937AF">
              <w:rPr>
                <w:rFonts w:ascii="Times New Roman" w:eastAsia="Times New Roman" w:hAnsi="Times New Roman" w:cs="Times New Roman"/>
                <w:color w:val="auto"/>
                <w:sz w:val="24"/>
                <w:szCs w:val="24"/>
                <w:lang w:val="ro-MD"/>
              </w:rPr>
              <w:t>este</w:t>
            </w:r>
            <w:r w:rsidRPr="00C937AF">
              <w:rPr>
                <w:rFonts w:ascii="Times New Roman" w:eastAsia="Times New Roman" w:hAnsi="Times New Roman" w:cs="Times New Roman"/>
                <w:color w:val="auto"/>
                <w:sz w:val="24"/>
                <w:szCs w:val="24"/>
                <w:lang w:val="ro-MD"/>
              </w:rPr>
              <w:t xml:space="preserve"> asigurată plasarea anunțului privind inițierea elaborării proiectului hotărârii </w:t>
            </w:r>
            <w:r w:rsidR="0047757C" w:rsidRPr="00C937AF">
              <w:rPr>
                <w:rFonts w:ascii="Times New Roman" w:hAnsi="Times New Roman" w:cs="Times New Roman"/>
                <w:color w:val="auto"/>
                <w:sz w:val="24"/>
                <w:szCs w:val="24"/>
                <w:lang w:val="ro-MD"/>
              </w:rPr>
              <w:t>Guvernului privind modificarea Hotărârii Guvernului nr.330/2023 cu privire la aprobarea Cadrului Național al Calificărilor</w:t>
            </w:r>
            <w:r w:rsidR="00BD4C47" w:rsidRPr="00C937AF">
              <w:rPr>
                <w:rFonts w:ascii="Times New Roman" w:hAnsi="Times New Roman" w:cs="Times New Roman"/>
                <w:color w:val="auto"/>
                <w:sz w:val="24"/>
                <w:szCs w:val="24"/>
                <w:lang w:val="ro-MD"/>
              </w:rPr>
              <w:t xml:space="preserve"> </w:t>
            </w:r>
          </w:p>
          <w:p w14:paraId="11F83F52" w14:textId="66A024C5" w:rsidR="00BD4C47" w:rsidRPr="00C937AF" w:rsidRDefault="00BD4C47" w:rsidP="00BD4C47">
            <w:pPr>
              <w:spacing w:line="276" w:lineRule="auto"/>
              <w:ind w:firstLine="0"/>
              <w:rPr>
                <w:rFonts w:ascii="Times New Roman" w:eastAsia="Times New Roman" w:hAnsi="Times New Roman" w:cs="Times New Roman"/>
                <w:color w:val="auto"/>
                <w:sz w:val="24"/>
                <w:szCs w:val="24"/>
                <w:lang w:val="ro-MD"/>
              </w:rPr>
            </w:pPr>
            <w:r w:rsidRPr="00C937AF">
              <w:rPr>
                <w:rFonts w:ascii="Times New Roman" w:hAnsi="Times New Roman" w:cs="Times New Roman"/>
                <w:color w:val="auto"/>
                <w:sz w:val="24"/>
                <w:szCs w:val="24"/>
                <w:lang w:val="ro-MD"/>
              </w:rPr>
              <w:t>Cale de acces:</w:t>
            </w:r>
            <w:r w:rsidRPr="00C937AF">
              <w:rPr>
                <w:color w:val="auto"/>
                <w:lang w:val="ro-MD"/>
              </w:rPr>
              <w:t xml:space="preserve"> </w:t>
            </w:r>
            <w:hyperlink r:id="rId10" w:history="1">
              <w:r w:rsidRPr="00C937AF">
                <w:rPr>
                  <w:rStyle w:val="Hyperlink"/>
                  <w:color w:val="auto"/>
                  <w:sz w:val="24"/>
                  <w:szCs w:val="24"/>
                  <w:lang w:val="ro-MD"/>
                </w:rPr>
                <w:t>https://particip.gov.md/ro/document/stages/*/14268</w:t>
              </w:r>
            </w:hyperlink>
          </w:p>
        </w:tc>
      </w:tr>
      <w:tr w:rsidR="00C937AF" w:rsidRPr="00C937AF" w14:paraId="32E73B9A" w14:textId="77777777" w:rsidTr="00C54945">
        <w:tc>
          <w:tcPr>
            <w:tcW w:w="962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0AFD4FB3" w14:textId="77777777" w:rsidR="00E8642F" w:rsidRPr="00C937AF" w:rsidRDefault="000B3C50" w:rsidP="00B01D43">
            <w:pPr>
              <w:spacing w:line="276" w:lineRule="auto"/>
              <w:rPr>
                <w:rFonts w:ascii="Times New Roman" w:eastAsia="Times New Roman" w:hAnsi="Times New Roman" w:cs="Times New Roman"/>
                <w:b/>
                <w:color w:val="auto"/>
                <w:sz w:val="24"/>
                <w:szCs w:val="24"/>
                <w:lang w:val="ro-MD"/>
              </w:rPr>
            </w:pPr>
            <w:r w:rsidRPr="00C937AF">
              <w:rPr>
                <w:rFonts w:ascii="Times New Roman" w:eastAsia="Times New Roman" w:hAnsi="Times New Roman" w:cs="Times New Roman"/>
                <w:b/>
                <w:color w:val="auto"/>
                <w:sz w:val="24"/>
                <w:szCs w:val="24"/>
                <w:lang w:val="ro-MD"/>
              </w:rPr>
              <w:t>7. Concluziile expertizelor</w:t>
            </w:r>
          </w:p>
        </w:tc>
      </w:tr>
      <w:tr w:rsidR="00C937AF" w:rsidRPr="00C937AF" w14:paraId="7EC78518" w14:textId="77777777" w:rsidTr="00C54945">
        <w:tc>
          <w:tcPr>
            <w:tcW w:w="962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BE657E9" w14:textId="474F6D5B" w:rsidR="00E8642F" w:rsidRPr="00C937AF" w:rsidRDefault="000B3C50" w:rsidP="00B01D43">
            <w:pPr>
              <w:spacing w:line="276" w:lineRule="auto"/>
              <w:ind w:firstLine="0"/>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Proiectul urmează a fi supus expertizării în cadrul procesului de avizare/expertizare. Informația referitoare la concluziile expertizelor va fi inclusă în sinteza obiecțiilor și propunerilor/recomandărilor la prezentul proiect de hotărâre.</w:t>
            </w:r>
          </w:p>
        </w:tc>
      </w:tr>
      <w:tr w:rsidR="00C937AF" w:rsidRPr="00C937AF" w14:paraId="7977964A" w14:textId="77777777" w:rsidTr="00C54945">
        <w:tc>
          <w:tcPr>
            <w:tcW w:w="962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4749E8DF" w14:textId="77777777" w:rsidR="00E8642F" w:rsidRPr="00C937AF" w:rsidRDefault="000B3C50" w:rsidP="00B01D43">
            <w:pPr>
              <w:spacing w:line="276" w:lineRule="auto"/>
              <w:rPr>
                <w:rFonts w:ascii="Times New Roman" w:eastAsia="Times New Roman" w:hAnsi="Times New Roman" w:cs="Times New Roman"/>
                <w:b/>
                <w:color w:val="auto"/>
                <w:sz w:val="24"/>
                <w:szCs w:val="24"/>
                <w:lang w:val="ro-MD"/>
              </w:rPr>
            </w:pPr>
            <w:r w:rsidRPr="00C937AF">
              <w:rPr>
                <w:rFonts w:ascii="Times New Roman" w:eastAsia="Times New Roman" w:hAnsi="Times New Roman" w:cs="Times New Roman"/>
                <w:b/>
                <w:color w:val="auto"/>
                <w:sz w:val="24"/>
                <w:szCs w:val="24"/>
                <w:lang w:val="ro-MD"/>
              </w:rPr>
              <w:t>8. Modul de încorporare a actului în cadrul normativ existent</w:t>
            </w:r>
          </w:p>
        </w:tc>
      </w:tr>
      <w:tr w:rsidR="00C937AF" w:rsidRPr="00C937AF" w14:paraId="16FD3444" w14:textId="77777777" w:rsidTr="00C54945">
        <w:tc>
          <w:tcPr>
            <w:tcW w:w="962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BCD8892" w14:textId="77777777" w:rsidR="00E8642F" w:rsidRPr="00C937AF" w:rsidRDefault="000B3C50" w:rsidP="00B01D43">
            <w:pPr>
              <w:spacing w:line="276" w:lineRule="auto"/>
              <w:ind w:firstLine="0"/>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 xml:space="preserve">Proiectul nu necesită abrogarea unor acte normative. </w:t>
            </w:r>
          </w:p>
        </w:tc>
      </w:tr>
      <w:tr w:rsidR="00C937AF" w:rsidRPr="00C937AF" w14:paraId="2006E30A" w14:textId="77777777" w:rsidTr="00C54945">
        <w:tc>
          <w:tcPr>
            <w:tcW w:w="9629"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0ACAC57C" w14:textId="77777777" w:rsidR="00E8642F" w:rsidRPr="00C937AF" w:rsidRDefault="000B3C50" w:rsidP="00B01D43">
            <w:pPr>
              <w:spacing w:line="276" w:lineRule="auto"/>
              <w:rPr>
                <w:rFonts w:ascii="Times New Roman" w:eastAsia="Times New Roman" w:hAnsi="Times New Roman" w:cs="Times New Roman"/>
                <w:b/>
                <w:color w:val="auto"/>
                <w:sz w:val="24"/>
                <w:szCs w:val="24"/>
                <w:lang w:val="ro-MD"/>
              </w:rPr>
            </w:pPr>
            <w:r w:rsidRPr="00C937AF">
              <w:rPr>
                <w:rFonts w:ascii="Times New Roman" w:eastAsia="Times New Roman" w:hAnsi="Times New Roman" w:cs="Times New Roman"/>
                <w:b/>
                <w:color w:val="auto"/>
                <w:sz w:val="24"/>
                <w:szCs w:val="24"/>
                <w:lang w:val="ro-MD"/>
              </w:rPr>
              <w:t>9. Măsurile necesare pentru implementarea prevederilor proiectului actului normativ</w:t>
            </w:r>
          </w:p>
        </w:tc>
      </w:tr>
      <w:tr w:rsidR="00C937AF" w:rsidRPr="00C937AF" w14:paraId="27B5CD33" w14:textId="77777777" w:rsidTr="00C54945">
        <w:tc>
          <w:tcPr>
            <w:tcW w:w="9629" w:type="dxa"/>
            <w:tcBorders>
              <w:top w:val="nil"/>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340CAED" w14:textId="77777777" w:rsidR="00E8642F" w:rsidRPr="00C937AF" w:rsidRDefault="000B3C50" w:rsidP="00B01D43">
            <w:pPr>
              <w:spacing w:line="276" w:lineRule="auto"/>
              <w:ind w:firstLine="0"/>
              <w:rPr>
                <w:rFonts w:ascii="Times New Roman" w:eastAsia="Times New Roman" w:hAnsi="Times New Roman" w:cs="Times New Roman"/>
                <w:color w:val="auto"/>
                <w:sz w:val="24"/>
                <w:szCs w:val="24"/>
                <w:lang w:val="ro-MD"/>
              </w:rPr>
            </w:pPr>
            <w:r w:rsidRPr="00C937AF">
              <w:rPr>
                <w:rFonts w:ascii="Times New Roman" w:eastAsia="Times New Roman" w:hAnsi="Times New Roman" w:cs="Times New Roman"/>
                <w:color w:val="auto"/>
                <w:sz w:val="24"/>
                <w:szCs w:val="24"/>
                <w:lang w:val="ro-MD"/>
              </w:rPr>
              <w:t>Proiectul nu necesită măsuri pentru a fi implementat.</w:t>
            </w:r>
          </w:p>
        </w:tc>
      </w:tr>
    </w:tbl>
    <w:p w14:paraId="5540EF2D" w14:textId="77777777" w:rsidR="00E8642F" w:rsidRPr="00C937AF" w:rsidRDefault="00E8642F" w:rsidP="00B01D43">
      <w:pPr>
        <w:pBdr>
          <w:top w:val="none" w:sz="0" w:space="0" w:color="000000"/>
          <w:left w:val="none" w:sz="0" w:space="0" w:color="000000"/>
          <w:bottom w:val="none" w:sz="0" w:space="0" w:color="000000"/>
          <w:right w:val="none" w:sz="0" w:space="0" w:color="000000"/>
        </w:pBdr>
        <w:tabs>
          <w:tab w:val="left" w:pos="884"/>
          <w:tab w:val="left" w:pos="1196"/>
        </w:tabs>
        <w:spacing w:line="276" w:lineRule="auto"/>
        <w:ind w:firstLine="0"/>
        <w:rPr>
          <w:b/>
          <w:sz w:val="24"/>
          <w:szCs w:val="24"/>
          <w:lang w:val="ro-MD"/>
        </w:rPr>
      </w:pPr>
    </w:p>
    <w:p w14:paraId="1C032996" w14:textId="1E8EAC9E" w:rsidR="00553617" w:rsidRPr="00C937AF" w:rsidRDefault="000B3C50" w:rsidP="00B01D43">
      <w:pPr>
        <w:pBdr>
          <w:top w:val="none" w:sz="0" w:space="0" w:color="000000"/>
          <w:left w:val="none" w:sz="0" w:space="0" w:color="000000"/>
          <w:bottom w:val="none" w:sz="0" w:space="0" w:color="000000"/>
          <w:right w:val="none" w:sz="0" w:space="0" w:color="000000"/>
        </w:pBdr>
        <w:tabs>
          <w:tab w:val="left" w:pos="884"/>
          <w:tab w:val="left" w:pos="1196"/>
        </w:tabs>
        <w:spacing w:line="276" w:lineRule="auto"/>
        <w:jc w:val="center"/>
        <w:rPr>
          <w:b/>
          <w:sz w:val="24"/>
          <w:szCs w:val="24"/>
          <w:lang w:val="ro-MD"/>
        </w:rPr>
      </w:pPr>
      <w:r w:rsidRPr="00C937AF">
        <w:rPr>
          <w:b/>
          <w:sz w:val="24"/>
          <w:szCs w:val="24"/>
          <w:lang w:val="ro-MD"/>
        </w:rPr>
        <w:t xml:space="preserve">Ministru                                                     Dan </w:t>
      </w:r>
      <w:r w:rsidR="00975815" w:rsidRPr="00C937AF">
        <w:rPr>
          <w:b/>
          <w:sz w:val="24"/>
          <w:szCs w:val="24"/>
          <w:lang w:val="ro-MD"/>
        </w:rPr>
        <w:t>PERCIU</w:t>
      </w:r>
      <w:r w:rsidR="00A56382" w:rsidRPr="00C937AF">
        <w:rPr>
          <w:b/>
          <w:sz w:val="24"/>
          <w:szCs w:val="24"/>
          <w:lang w:val="ro-MD"/>
        </w:rPr>
        <w:t>N</w:t>
      </w:r>
    </w:p>
    <w:p w14:paraId="1F425864" w14:textId="77777777" w:rsidR="00975815" w:rsidRPr="00C937AF" w:rsidRDefault="00975815" w:rsidP="00B01D43">
      <w:pPr>
        <w:pStyle w:val="TableParagraph"/>
        <w:spacing w:line="276" w:lineRule="auto"/>
        <w:rPr>
          <w:rFonts w:ascii="Times New Roman" w:hAnsi="Times New Roman" w:cs="Times New Roman"/>
          <w:sz w:val="16"/>
          <w:szCs w:val="16"/>
          <w:lang w:val="ro-MD"/>
        </w:rPr>
      </w:pPr>
    </w:p>
    <w:p w14:paraId="2545A93C"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7C7A2927"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7589AC82"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3DABF46F"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08CD0DE2"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3D9A5C7C"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65DAE287"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19313AF3"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10AF30F5"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2BF5CEB8"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100826AA"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23BFF59E"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163E682C"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732F152E"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704C8490"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42867615"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3B6CE184"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5B144F48"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35325E30"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685439E4"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023DD399"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279A24DE"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400BC0E4"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1DF3B875"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4D2309AF" w14:textId="77777777" w:rsidR="0064656F" w:rsidRPr="00C937AF" w:rsidRDefault="0064656F" w:rsidP="00B01D43">
      <w:pPr>
        <w:pStyle w:val="TableParagraph"/>
        <w:spacing w:line="276" w:lineRule="auto"/>
        <w:rPr>
          <w:rFonts w:ascii="Times New Roman" w:hAnsi="Times New Roman" w:cs="Times New Roman"/>
          <w:sz w:val="12"/>
          <w:szCs w:val="12"/>
          <w:lang w:val="ro-MD"/>
        </w:rPr>
      </w:pPr>
    </w:p>
    <w:p w14:paraId="54375F4E" w14:textId="77777777" w:rsidR="0064656F" w:rsidRPr="00C937AF" w:rsidRDefault="0064656F" w:rsidP="00B01D43">
      <w:pPr>
        <w:pStyle w:val="TableParagraph"/>
        <w:spacing w:line="276" w:lineRule="auto"/>
        <w:rPr>
          <w:rFonts w:ascii="Times New Roman" w:hAnsi="Times New Roman" w:cs="Times New Roman"/>
          <w:sz w:val="12"/>
          <w:szCs w:val="12"/>
          <w:lang w:val="ro-MD"/>
        </w:rPr>
      </w:pPr>
    </w:p>
    <w:p w14:paraId="6B502048" w14:textId="77777777" w:rsidR="0064656F" w:rsidRPr="00C937AF" w:rsidRDefault="0064656F" w:rsidP="00B01D43">
      <w:pPr>
        <w:pStyle w:val="TableParagraph"/>
        <w:spacing w:line="276" w:lineRule="auto"/>
        <w:rPr>
          <w:rFonts w:ascii="Times New Roman" w:hAnsi="Times New Roman" w:cs="Times New Roman"/>
          <w:sz w:val="12"/>
          <w:szCs w:val="12"/>
          <w:lang w:val="ro-MD"/>
        </w:rPr>
      </w:pPr>
    </w:p>
    <w:p w14:paraId="7BF3480A" w14:textId="77777777" w:rsidR="0064656F" w:rsidRPr="00C937AF" w:rsidRDefault="0064656F" w:rsidP="00B01D43">
      <w:pPr>
        <w:pStyle w:val="TableParagraph"/>
        <w:spacing w:line="276" w:lineRule="auto"/>
        <w:rPr>
          <w:rFonts w:ascii="Times New Roman" w:hAnsi="Times New Roman" w:cs="Times New Roman"/>
          <w:sz w:val="12"/>
          <w:szCs w:val="12"/>
          <w:lang w:val="ro-MD"/>
        </w:rPr>
      </w:pPr>
    </w:p>
    <w:p w14:paraId="3F1F9866" w14:textId="77777777" w:rsidR="0064656F" w:rsidRPr="00C937AF" w:rsidRDefault="0064656F" w:rsidP="00B01D43">
      <w:pPr>
        <w:pStyle w:val="TableParagraph"/>
        <w:spacing w:line="276" w:lineRule="auto"/>
        <w:rPr>
          <w:rFonts w:ascii="Times New Roman" w:hAnsi="Times New Roman" w:cs="Times New Roman"/>
          <w:sz w:val="12"/>
          <w:szCs w:val="12"/>
          <w:lang w:val="ro-MD"/>
        </w:rPr>
      </w:pPr>
    </w:p>
    <w:p w14:paraId="3A266921" w14:textId="77777777" w:rsidR="0064656F" w:rsidRPr="00C937AF" w:rsidRDefault="0064656F" w:rsidP="00B01D43">
      <w:pPr>
        <w:pStyle w:val="TableParagraph"/>
        <w:spacing w:line="276" w:lineRule="auto"/>
        <w:rPr>
          <w:rFonts w:ascii="Times New Roman" w:hAnsi="Times New Roman" w:cs="Times New Roman"/>
          <w:sz w:val="12"/>
          <w:szCs w:val="12"/>
          <w:lang w:val="ro-MD"/>
        </w:rPr>
      </w:pPr>
    </w:p>
    <w:p w14:paraId="6E9BFC4A" w14:textId="77777777" w:rsidR="0064656F" w:rsidRPr="00C937AF" w:rsidRDefault="0064656F" w:rsidP="00B01D43">
      <w:pPr>
        <w:pStyle w:val="TableParagraph"/>
        <w:spacing w:line="276" w:lineRule="auto"/>
        <w:rPr>
          <w:rFonts w:ascii="Times New Roman" w:hAnsi="Times New Roman" w:cs="Times New Roman"/>
          <w:sz w:val="12"/>
          <w:szCs w:val="12"/>
          <w:lang w:val="ro-MD"/>
        </w:rPr>
      </w:pPr>
    </w:p>
    <w:p w14:paraId="712A92E6" w14:textId="77777777" w:rsidR="0064656F" w:rsidRPr="00C937AF" w:rsidRDefault="0064656F" w:rsidP="00B01D43">
      <w:pPr>
        <w:pStyle w:val="TableParagraph"/>
        <w:spacing w:line="276" w:lineRule="auto"/>
        <w:rPr>
          <w:rFonts w:ascii="Times New Roman" w:hAnsi="Times New Roman" w:cs="Times New Roman"/>
          <w:sz w:val="12"/>
          <w:szCs w:val="12"/>
          <w:lang w:val="ro-MD"/>
        </w:rPr>
      </w:pPr>
    </w:p>
    <w:p w14:paraId="60EF99E3" w14:textId="77777777" w:rsidR="00B01D43" w:rsidRPr="00C937AF" w:rsidRDefault="00B01D43" w:rsidP="00B01D43">
      <w:pPr>
        <w:pStyle w:val="TableParagraph"/>
        <w:spacing w:line="276" w:lineRule="auto"/>
        <w:rPr>
          <w:rFonts w:ascii="Times New Roman" w:hAnsi="Times New Roman" w:cs="Times New Roman"/>
          <w:sz w:val="12"/>
          <w:szCs w:val="12"/>
          <w:lang w:val="ro-MD"/>
        </w:rPr>
      </w:pPr>
    </w:p>
    <w:p w14:paraId="11418AD0" w14:textId="77777777" w:rsidR="0047757C" w:rsidRPr="00C937AF" w:rsidRDefault="0047757C" w:rsidP="0047757C">
      <w:pPr>
        <w:pStyle w:val="TableParagraph"/>
        <w:rPr>
          <w:rFonts w:ascii="Times New Roman" w:hAnsi="Times New Roman" w:cs="Times New Roman"/>
          <w:i/>
          <w:sz w:val="20"/>
          <w:szCs w:val="20"/>
          <w:lang w:val="ro-MD"/>
        </w:rPr>
      </w:pPr>
      <w:r w:rsidRPr="00C937AF">
        <w:rPr>
          <w:rFonts w:ascii="Times New Roman" w:hAnsi="Times New Roman" w:cs="Times New Roman"/>
          <w:i/>
          <w:sz w:val="20"/>
          <w:szCs w:val="20"/>
          <w:lang w:val="ro-MD"/>
        </w:rPr>
        <w:t xml:space="preserve">Ex. Viorica </w:t>
      </w:r>
      <w:proofErr w:type="spellStart"/>
      <w:r w:rsidRPr="00C937AF">
        <w:rPr>
          <w:rFonts w:ascii="Times New Roman" w:hAnsi="Times New Roman" w:cs="Times New Roman"/>
          <w:i/>
          <w:sz w:val="20"/>
          <w:szCs w:val="20"/>
          <w:lang w:val="ro-MD"/>
        </w:rPr>
        <w:t>Condruc</w:t>
      </w:r>
      <w:proofErr w:type="spellEnd"/>
    </w:p>
    <w:p w14:paraId="1A770CCE" w14:textId="77777777" w:rsidR="0047757C" w:rsidRPr="00C937AF" w:rsidRDefault="00710B12" w:rsidP="0047757C">
      <w:pPr>
        <w:pStyle w:val="TableParagraph"/>
        <w:rPr>
          <w:rFonts w:ascii="Times New Roman" w:hAnsi="Times New Roman" w:cs="Times New Roman"/>
          <w:i/>
          <w:sz w:val="20"/>
          <w:szCs w:val="20"/>
          <w:lang w:val="ro-MD"/>
        </w:rPr>
      </w:pPr>
      <w:hyperlink r:id="rId11" w:history="1">
        <w:r w:rsidR="0047757C" w:rsidRPr="00C937AF">
          <w:rPr>
            <w:rStyle w:val="Hyperlink"/>
            <w:rFonts w:ascii="Times New Roman" w:hAnsi="Times New Roman" w:cs="Times New Roman"/>
            <w:i/>
            <w:color w:val="auto"/>
            <w:sz w:val="20"/>
            <w:szCs w:val="20"/>
            <w:lang w:val="ro-MD"/>
          </w:rPr>
          <w:t>viorica.condruc@mec.gov.md</w:t>
        </w:r>
      </w:hyperlink>
    </w:p>
    <w:p w14:paraId="1DFF1556" w14:textId="1221D18D" w:rsidR="0047757C" w:rsidRPr="00C937AF" w:rsidRDefault="0047757C" w:rsidP="0047757C">
      <w:pPr>
        <w:pStyle w:val="TableParagraph"/>
        <w:rPr>
          <w:rFonts w:ascii="Times New Roman" w:hAnsi="Times New Roman" w:cs="Times New Roman"/>
          <w:i/>
          <w:sz w:val="20"/>
          <w:szCs w:val="20"/>
          <w:lang w:val="ro-MD"/>
        </w:rPr>
      </w:pPr>
      <w:r w:rsidRPr="00C937AF">
        <w:rPr>
          <w:rFonts w:ascii="Times New Roman" w:hAnsi="Times New Roman" w:cs="Times New Roman"/>
          <w:i/>
          <w:sz w:val="20"/>
          <w:szCs w:val="20"/>
          <w:lang w:val="ro-MD"/>
        </w:rPr>
        <w:t>tel: 022-234500</w:t>
      </w:r>
    </w:p>
    <w:sectPr w:rsidR="0047757C" w:rsidRPr="00C937AF" w:rsidSect="00EF423F">
      <w:headerReference w:type="default" r:id="rId12"/>
      <w:headerReference w:type="first" r:id="rId13"/>
      <w:pgSz w:w="11907" w:h="16840"/>
      <w:pgMar w:top="567" w:right="680" w:bottom="624" w:left="136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B4882" w14:textId="77777777" w:rsidR="00710B12" w:rsidRDefault="00710B12">
      <w:r>
        <w:separator/>
      </w:r>
    </w:p>
  </w:endnote>
  <w:endnote w:type="continuationSeparator" w:id="0">
    <w:p w14:paraId="6FCEE90B" w14:textId="77777777" w:rsidR="00710B12" w:rsidRDefault="0071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Times New Roman"/>
    <w:charset w:val="00"/>
    <w:family w:val="auto"/>
    <w:pitch w:val="default"/>
  </w:font>
  <w:font w:name="$Caslon">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26643" w14:textId="77777777" w:rsidR="00710B12" w:rsidRDefault="00710B12">
      <w:r>
        <w:separator/>
      </w:r>
    </w:p>
  </w:footnote>
  <w:footnote w:type="continuationSeparator" w:id="0">
    <w:p w14:paraId="4E86494E" w14:textId="77777777" w:rsidR="00710B12" w:rsidRDefault="00710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54FBC" w14:textId="77777777" w:rsidR="00E8642F" w:rsidRDefault="00E8642F">
    <w:pPr>
      <w:pBdr>
        <w:top w:val="nil"/>
        <w:left w:val="nil"/>
        <w:bottom w:val="nil"/>
        <w:right w:val="nil"/>
        <w:between w:val="nil"/>
      </w:pBdr>
      <w:tabs>
        <w:tab w:val="center" w:pos="4677"/>
        <w:tab w:val="right" w:pos="9355"/>
      </w:tabs>
      <w:ind w:firstLine="0"/>
      <w:jc w:val="center"/>
      <w:rPr>
        <w:color w:val="0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4A3E5" w14:textId="77777777" w:rsidR="00E8642F" w:rsidRDefault="00E8642F">
    <w:pPr>
      <w:pBdr>
        <w:top w:val="nil"/>
        <w:left w:val="nil"/>
        <w:bottom w:val="nil"/>
        <w:right w:val="nil"/>
        <w:between w:val="nil"/>
      </w:pBdr>
      <w:tabs>
        <w:tab w:val="center" w:pos="4677"/>
        <w:tab w:val="right" w:pos="9355"/>
      </w:tabs>
      <w:ind w:firstLine="0"/>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04F7C"/>
    <w:multiLevelType w:val="multilevel"/>
    <w:tmpl w:val="35A8F8C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E4A353C"/>
    <w:multiLevelType w:val="hybridMultilevel"/>
    <w:tmpl w:val="F03CF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E2D53"/>
    <w:multiLevelType w:val="hybridMultilevel"/>
    <w:tmpl w:val="06DC5E26"/>
    <w:lvl w:ilvl="0" w:tplc="C616EFEE">
      <w:numFmt w:val="bullet"/>
      <w:lvlText w:val="-"/>
      <w:lvlJc w:val="left"/>
      <w:pPr>
        <w:ind w:left="677" w:hanging="360"/>
      </w:pPr>
      <w:rPr>
        <w:rFonts w:ascii="Times New Roman" w:eastAsia="Calibri" w:hAnsi="Times New Roman" w:cs="Times New Roman"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3" w15:restartNumberingAfterBreak="0">
    <w:nsid w:val="3B642729"/>
    <w:multiLevelType w:val="hybridMultilevel"/>
    <w:tmpl w:val="00C6FEDA"/>
    <w:lvl w:ilvl="0" w:tplc="0BBA239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B68C4"/>
    <w:multiLevelType w:val="hybridMultilevel"/>
    <w:tmpl w:val="C81A39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A41F9"/>
    <w:multiLevelType w:val="multilevel"/>
    <w:tmpl w:val="7338C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350C97"/>
    <w:multiLevelType w:val="hybridMultilevel"/>
    <w:tmpl w:val="6DF026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42F"/>
    <w:rsid w:val="00022F96"/>
    <w:rsid w:val="00036766"/>
    <w:rsid w:val="0005154B"/>
    <w:rsid w:val="00066C06"/>
    <w:rsid w:val="000B3C50"/>
    <w:rsid w:val="00107127"/>
    <w:rsid w:val="001617C7"/>
    <w:rsid w:val="001839C2"/>
    <w:rsid w:val="001E17AC"/>
    <w:rsid w:val="00201410"/>
    <w:rsid w:val="002543AD"/>
    <w:rsid w:val="002750CD"/>
    <w:rsid w:val="003778B4"/>
    <w:rsid w:val="00381BE3"/>
    <w:rsid w:val="0039107A"/>
    <w:rsid w:val="00422088"/>
    <w:rsid w:val="00423A1D"/>
    <w:rsid w:val="00445BA8"/>
    <w:rsid w:val="00450598"/>
    <w:rsid w:val="00465D82"/>
    <w:rsid w:val="00471122"/>
    <w:rsid w:val="0047757C"/>
    <w:rsid w:val="004E7BED"/>
    <w:rsid w:val="00500E1D"/>
    <w:rsid w:val="00531ED4"/>
    <w:rsid w:val="00553617"/>
    <w:rsid w:val="005B241A"/>
    <w:rsid w:val="005C377E"/>
    <w:rsid w:val="005D3DA9"/>
    <w:rsid w:val="00610B52"/>
    <w:rsid w:val="0064656F"/>
    <w:rsid w:val="0065733D"/>
    <w:rsid w:val="006C2639"/>
    <w:rsid w:val="00710B12"/>
    <w:rsid w:val="0074384A"/>
    <w:rsid w:val="007836AE"/>
    <w:rsid w:val="00786D71"/>
    <w:rsid w:val="007F5332"/>
    <w:rsid w:val="008048AD"/>
    <w:rsid w:val="008269CC"/>
    <w:rsid w:val="00850E12"/>
    <w:rsid w:val="008A13FB"/>
    <w:rsid w:val="008B5114"/>
    <w:rsid w:val="008D4957"/>
    <w:rsid w:val="00920240"/>
    <w:rsid w:val="0092241F"/>
    <w:rsid w:val="00944B59"/>
    <w:rsid w:val="00975815"/>
    <w:rsid w:val="00976694"/>
    <w:rsid w:val="00983495"/>
    <w:rsid w:val="009A3497"/>
    <w:rsid w:val="009E36F0"/>
    <w:rsid w:val="00A323C8"/>
    <w:rsid w:val="00A464E6"/>
    <w:rsid w:val="00A50464"/>
    <w:rsid w:val="00A5060B"/>
    <w:rsid w:val="00A54FAB"/>
    <w:rsid w:val="00A56382"/>
    <w:rsid w:val="00A71509"/>
    <w:rsid w:val="00B01D43"/>
    <w:rsid w:val="00B1412A"/>
    <w:rsid w:val="00B35F1C"/>
    <w:rsid w:val="00B455B9"/>
    <w:rsid w:val="00B55986"/>
    <w:rsid w:val="00B5719F"/>
    <w:rsid w:val="00B8600B"/>
    <w:rsid w:val="00BA5D28"/>
    <w:rsid w:val="00BA6571"/>
    <w:rsid w:val="00BA6DAF"/>
    <w:rsid w:val="00BD4C47"/>
    <w:rsid w:val="00C03A41"/>
    <w:rsid w:val="00C35FC1"/>
    <w:rsid w:val="00C54945"/>
    <w:rsid w:val="00C70460"/>
    <w:rsid w:val="00C91421"/>
    <w:rsid w:val="00C937AF"/>
    <w:rsid w:val="00CE22CA"/>
    <w:rsid w:val="00D06399"/>
    <w:rsid w:val="00D35856"/>
    <w:rsid w:val="00D51DA4"/>
    <w:rsid w:val="00E139F7"/>
    <w:rsid w:val="00E41034"/>
    <w:rsid w:val="00E8642F"/>
    <w:rsid w:val="00EB0221"/>
    <w:rsid w:val="00EE2494"/>
    <w:rsid w:val="00EF423F"/>
    <w:rsid w:val="00EF47DD"/>
    <w:rsid w:val="00F05B9E"/>
    <w:rsid w:val="00F56DF0"/>
    <w:rsid w:val="00F66B15"/>
    <w:rsid w:val="00F75B44"/>
    <w:rsid w:val="00F83D0A"/>
    <w:rsid w:val="00FB67C2"/>
    <w:rsid w:val="00FC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6BBF"/>
  <w15:docId w15:val="{A9384F27-F1D4-4502-961C-ED92C6A1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1,Resume Title,List Paragraph1"/>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customStyle="1" w:styleId="UnresolvedMention2">
    <w:name w:val="Unresolved Mention2"/>
    <w:basedOn w:val="DefaultParagraphFont"/>
    <w:uiPriority w:val="99"/>
    <w:semiHidden/>
    <w:unhideWhenUsed/>
    <w:rsid w:val="00C344A1"/>
    <w:rPr>
      <w:color w:val="605E5C"/>
      <w:shd w:val="clear" w:color="auto" w:fill="E1DFDD"/>
    </w:rPr>
  </w:style>
  <w:style w:type="table" w:customStyle="1" w:styleId="a">
    <w:basedOn w:val="TableNormal"/>
    <w:rPr>
      <w:rFonts w:ascii="Calibri" w:eastAsia="Calibri" w:hAnsi="Calibri" w:cs="Calibri"/>
      <w:color w:val="404040"/>
      <w:sz w:val="22"/>
      <w:szCs w:val="22"/>
    </w:rPr>
    <w:tblPr>
      <w:tblStyleRowBandSize w:val="1"/>
      <w:tblStyleColBandSize w:val="1"/>
    </w:tblPr>
    <w:tcPr>
      <w:shd w:val="clear" w:color="auto" w:fill="FAC090"/>
    </w:tcPr>
  </w:style>
  <w:style w:type="paragraph" w:customStyle="1" w:styleId="TableParagraph">
    <w:name w:val="Table Paragraph"/>
    <w:basedOn w:val="Normal"/>
    <w:uiPriority w:val="1"/>
    <w:qFormat/>
    <w:rsid w:val="00553617"/>
    <w:pPr>
      <w:widowControl w:val="0"/>
      <w:ind w:firstLine="0"/>
      <w:jc w:val="left"/>
    </w:pPr>
    <w:rPr>
      <w:rFonts w:asciiTheme="minorHAnsi" w:eastAsiaTheme="minorHAnsi" w:hAnsiTheme="minorHAnsi" w:cstheme="minorBidi"/>
      <w:sz w:val="22"/>
      <w:szCs w:val="22"/>
    </w:rPr>
  </w:style>
  <w:style w:type="character" w:customStyle="1" w:styleId="ListParagraphChar">
    <w:name w:val="List Paragraph Char"/>
    <w:aliases w:val="List Paragraph 1 Char,Resume Title Char,List Paragraph1 Char"/>
    <w:basedOn w:val="DefaultParagraphFont"/>
    <w:link w:val="ListParagraph"/>
    <w:uiPriority w:val="34"/>
    <w:locked/>
    <w:rsid w:val="00F05B9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5715">
      <w:bodyDiv w:val="1"/>
      <w:marLeft w:val="0"/>
      <w:marRight w:val="0"/>
      <w:marTop w:val="0"/>
      <w:marBottom w:val="0"/>
      <w:divBdr>
        <w:top w:val="none" w:sz="0" w:space="0" w:color="auto"/>
        <w:left w:val="none" w:sz="0" w:space="0" w:color="auto"/>
        <w:bottom w:val="none" w:sz="0" w:space="0" w:color="auto"/>
        <w:right w:val="none" w:sz="0" w:space="0" w:color="auto"/>
      </w:divBdr>
    </w:div>
    <w:div w:id="197938926">
      <w:bodyDiv w:val="1"/>
      <w:marLeft w:val="0"/>
      <w:marRight w:val="0"/>
      <w:marTop w:val="0"/>
      <w:marBottom w:val="0"/>
      <w:divBdr>
        <w:top w:val="none" w:sz="0" w:space="0" w:color="auto"/>
        <w:left w:val="none" w:sz="0" w:space="0" w:color="auto"/>
        <w:bottom w:val="none" w:sz="0" w:space="0" w:color="auto"/>
        <w:right w:val="none" w:sz="0" w:space="0" w:color="auto"/>
      </w:divBdr>
    </w:div>
    <w:div w:id="929503795">
      <w:bodyDiv w:val="1"/>
      <w:marLeft w:val="0"/>
      <w:marRight w:val="0"/>
      <w:marTop w:val="0"/>
      <w:marBottom w:val="0"/>
      <w:divBdr>
        <w:top w:val="none" w:sz="0" w:space="0" w:color="auto"/>
        <w:left w:val="none" w:sz="0" w:space="0" w:color="auto"/>
        <w:bottom w:val="none" w:sz="0" w:space="0" w:color="auto"/>
        <w:right w:val="none" w:sz="0" w:space="0" w:color="auto"/>
      </w:divBdr>
    </w:div>
    <w:div w:id="1280646776">
      <w:bodyDiv w:val="1"/>
      <w:marLeft w:val="0"/>
      <w:marRight w:val="0"/>
      <w:marTop w:val="0"/>
      <w:marBottom w:val="0"/>
      <w:divBdr>
        <w:top w:val="none" w:sz="0" w:space="0" w:color="auto"/>
        <w:left w:val="none" w:sz="0" w:space="0" w:color="auto"/>
        <w:bottom w:val="none" w:sz="0" w:space="0" w:color="auto"/>
        <w:right w:val="none" w:sz="0" w:space="0" w:color="auto"/>
      </w:divBdr>
    </w:div>
    <w:div w:id="2042586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c.gov.m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orica.condruc@mec.gov.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rticip.gov.md/ro/document/stages/*/14268" TargetMode="External"/><Relationship Id="rId4" Type="http://schemas.openxmlformats.org/officeDocument/2006/relationships/settings" Target="settings.xml"/><Relationship Id="rId9" Type="http://schemas.openxmlformats.org/officeDocument/2006/relationships/hyperlink" Target="http://www.particip.md"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Tk1IahmlAisD8+e7ouIxz61V9Q==">CgMxLjAyCGguZ2pkZ3hzOAByITFJc2d1T0lMQTNiRU5hTW9uaDRxV040MjVKUWw3TUNGeQ==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7962</Characters>
  <Application>Microsoft Office Word</Application>
  <DocSecurity>0</DocSecurity>
  <Lines>256</Lines>
  <Paragraphs>107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MEC</cp:lastModifiedBy>
  <cp:revision>2</cp:revision>
  <cp:lastPrinted>2025-04-10T11:24:00Z</cp:lastPrinted>
  <dcterms:created xsi:type="dcterms:W3CDTF">2025-04-10T11:39:00Z</dcterms:created>
  <dcterms:modified xsi:type="dcterms:W3CDTF">2025-04-10T11:39:00Z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