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4E8" w:rsidRPr="00F36BBF" w:rsidRDefault="00B775BC" w:rsidP="00E938C6">
      <w:pPr>
        <w:tabs>
          <w:tab w:val="left" w:pos="6390"/>
        </w:tabs>
        <w:spacing w:before="77" w:after="0" w:line="240" w:lineRule="auto"/>
        <w:ind w:left="720" w:right="920"/>
        <w:jc w:val="center"/>
        <w:rPr>
          <w:rFonts w:ascii="Times New Roman" w:eastAsia="Times New Roman" w:hAnsi="Times New Roman" w:cs="Times New Roman"/>
          <w:sz w:val="24"/>
          <w:szCs w:val="24"/>
        </w:rPr>
      </w:pPr>
      <w:r w:rsidRPr="00F36BBF">
        <w:rPr>
          <w:rFonts w:ascii="Times New Roman" w:eastAsia="Times New Roman" w:hAnsi="Times New Roman" w:cs="Times New Roman"/>
          <w:b/>
          <w:bCs/>
          <w:sz w:val="24"/>
          <w:szCs w:val="24"/>
        </w:rPr>
        <w:t>NOTA DE</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F</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N</w:t>
      </w:r>
      <w:r w:rsidRPr="00F36BBF">
        <w:rPr>
          <w:rFonts w:ascii="Times New Roman" w:eastAsia="Times New Roman" w:hAnsi="Times New Roman" w:cs="Times New Roman"/>
          <w:b/>
          <w:bCs/>
          <w:spacing w:val="-1"/>
          <w:sz w:val="24"/>
          <w:szCs w:val="24"/>
        </w:rPr>
        <w:t>D</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pacing w:val="3"/>
          <w:sz w:val="24"/>
          <w:szCs w:val="24"/>
        </w:rPr>
        <w:t>E</w:t>
      </w:r>
      <w:r w:rsidRPr="00F36BBF">
        <w:rPr>
          <w:rFonts w:ascii="Times New Roman" w:eastAsia="Times New Roman" w:hAnsi="Times New Roman" w:cs="Times New Roman"/>
          <w:b/>
          <w:bCs/>
          <w:sz w:val="24"/>
          <w:szCs w:val="24"/>
        </w:rPr>
        <w:t>NTA</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E</w:t>
      </w:r>
    </w:p>
    <w:p w:rsidR="00F304E8" w:rsidRPr="00F36BBF" w:rsidRDefault="00B775BC" w:rsidP="00E938C6">
      <w:pPr>
        <w:tabs>
          <w:tab w:val="left" w:pos="6390"/>
        </w:tabs>
        <w:spacing w:after="0" w:line="240" w:lineRule="auto"/>
        <w:ind w:left="720" w:right="920"/>
        <w:jc w:val="center"/>
        <w:rPr>
          <w:rFonts w:ascii="Times New Roman" w:eastAsia="Times New Roman" w:hAnsi="Times New Roman" w:cs="Times New Roman"/>
          <w:sz w:val="24"/>
          <w:szCs w:val="24"/>
        </w:rPr>
      </w:pPr>
      <w:r w:rsidRPr="00F36BBF">
        <w:rPr>
          <w:rFonts w:ascii="Times New Roman" w:eastAsia="Times New Roman" w:hAnsi="Times New Roman" w:cs="Times New Roman"/>
          <w:b/>
          <w:bCs/>
          <w:sz w:val="24"/>
          <w:szCs w:val="24"/>
        </w:rPr>
        <w:t xml:space="preserve">la </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oie</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2"/>
          <w:sz w:val="24"/>
          <w:szCs w:val="24"/>
        </w:rPr>
        <w:t xml:space="preserve"> </w:t>
      </w:r>
      <w:r w:rsidR="00CE5BD4">
        <w:rPr>
          <w:rFonts w:ascii="Times New Roman" w:eastAsia="Times New Roman" w:hAnsi="Times New Roman" w:cs="Times New Roman"/>
          <w:b/>
          <w:bCs/>
          <w:spacing w:val="2"/>
          <w:sz w:val="24"/>
          <w:szCs w:val="24"/>
        </w:rPr>
        <w:t>h</w:t>
      </w:r>
      <w:r w:rsidR="007201B9">
        <w:rPr>
          <w:rFonts w:ascii="Times New Roman" w:eastAsia="Times New Roman" w:hAnsi="Times New Roman" w:cs="Times New Roman"/>
          <w:b/>
          <w:bCs/>
          <w:spacing w:val="2"/>
          <w:sz w:val="24"/>
          <w:szCs w:val="24"/>
        </w:rPr>
        <w:t xml:space="preserve">otărârii de Guvern </w:t>
      </w:r>
    </w:p>
    <w:p w:rsidR="00E938C6" w:rsidRDefault="00CE5BD4" w:rsidP="00D66C58">
      <w:pPr>
        <w:tabs>
          <w:tab w:val="left" w:pos="6390"/>
        </w:tabs>
        <w:spacing w:after="0" w:line="240" w:lineRule="auto"/>
        <w:ind w:right="920"/>
        <w:jc w:val="center"/>
        <w:rPr>
          <w:rFonts w:ascii="Times New Roman" w:eastAsia="Times New Roman" w:hAnsi="Times New Roman" w:cs="Times New Roman"/>
          <w:b/>
          <w:bCs/>
          <w:i/>
          <w:sz w:val="24"/>
          <w:szCs w:val="24"/>
        </w:rPr>
      </w:pPr>
      <w:r>
        <w:rPr>
          <w:rFonts w:ascii="Times New Roman" w:eastAsia="Times New Roman" w:hAnsi="Times New Roman" w:cs="Times New Roman"/>
          <w:b/>
          <w:bCs/>
          <w:i/>
          <w:spacing w:val="-1"/>
          <w:sz w:val="24"/>
          <w:szCs w:val="24"/>
        </w:rPr>
        <w:t>pentru</w:t>
      </w:r>
      <w:r w:rsidR="00B775BC" w:rsidRPr="00F36BBF">
        <w:rPr>
          <w:rFonts w:ascii="Times New Roman" w:eastAsia="Times New Roman" w:hAnsi="Times New Roman" w:cs="Times New Roman"/>
          <w:b/>
          <w:bCs/>
          <w:i/>
          <w:sz w:val="24"/>
          <w:szCs w:val="24"/>
        </w:rPr>
        <w:t xml:space="preserve"> aprobarea Regu</w:t>
      </w:r>
      <w:r w:rsidR="00B775BC" w:rsidRPr="00F36BBF">
        <w:rPr>
          <w:rFonts w:ascii="Times New Roman" w:eastAsia="Times New Roman" w:hAnsi="Times New Roman" w:cs="Times New Roman"/>
          <w:b/>
          <w:bCs/>
          <w:i/>
          <w:spacing w:val="1"/>
          <w:sz w:val="24"/>
          <w:szCs w:val="24"/>
        </w:rPr>
        <w:t>l</w:t>
      </w:r>
      <w:r w:rsidR="00B775BC" w:rsidRPr="00F36BBF">
        <w:rPr>
          <w:rFonts w:ascii="Times New Roman" w:eastAsia="Times New Roman" w:hAnsi="Times New Roman" w:cs="Times New Roman"/>
          <w:b/>
          <w:bCs/>
          <w:i/>
          <w:sz w:val="24"/>
          <w:szCs w:val="24"/>
        </w:rPr>
        <w:t>amen</w:t>
      </w:r>
      <w:r w:rsidR="00B775BC" w:rsidRPr="00F36BBF">
        <w:rPr>
          <w:rFonts w:ascii="Times New Roman" w:eastAsia="Times New Roman" w:hAnsi="Times New Roman" w:cs="Times New Roman"/>
          <w:b/>
          <w:bCs/>
          <w:i/>
          <w:spacing w:val="1"/>
          <w:sz w:val="24"/>
          <w:szCs w:val="24"/>
        </w:rPr>
        <w:t>t</w:t>
      </w:r>
      <w:r w:rsidR="00B775BC" w:rsidRPr="00F36BBF">
        <w:rPr>
          <w:rFonts w:ascii="Times New Roman" w:eastAsia="Times New Roman" w:hAnsi="Times New Roman" w:cs="Times New Roman"/>
          <w:b/>
          <w:bCs/>
          <w:i/>
          <w:spacing w:val="-1"/>
          <w:sz w:val="24"/>
          <w:szCs w:val="24"/>
        </w:rPr>
        <w:t>u</w:t>
      </w:r>
      <w:r w:rsidR="00B775BC" w:rsidRPr="00F36BBF">
        <w:rPr>
          <w:rFonts w:ascii="Times New Roman" w:eastAsia="Times New Roman" w:hAnsi="Times New Roman" w:cs="Times New Roman"/>
          <w:b/>
          <w:bCs/>
          <w:i/>
          <w:sz w:val="24"/>
          <w:szCs w:val="24"/>
        </w:rPr>
        <w:t>l</w:t>
      </w:r>
      <w:r w:rsidR="00B775BC" w:rsidRPr="00F36BBF">
        <w:rPr>
          <w:rFonts w:ascii="Times New Roman" w:eastAsia="Times New Roman" w:hAnsi="Times New Roman" w:cs="Times New Roman"/>
          <w:b/>
          <w:bCs/>
          <w:i/>
          <w:spacing w:val="1"/>
          <w:sz w:val="24"/>
          <w:szCs w:val="24"/>
        </w:rPr>
        <w:t>u</w:t>
      </w:r>
      <w:r w:rsidR="00B775BC" w:rsidRPr="00F36BBF">
        <w:rPr>
          <w:rFonts w:ascii="Times New Roman" w:eastAsia="Times New Roman" w:hAnsi="Times New Roman" w:cs="Times New Roman"/>
          <w:b/>
          <w:bCs/>
          <w:i/>
          <w:sz w:val="24"/>
          <w:szCs w:val="24"/>
        </w:rPr>
        <w:t>i</w:t>
      </w:r>
      <w:r w:rsidR="00B775BC" w:rsidRPr="00F36BBF">
        <w:rPr>
          <w:rFonts w:ascii="Times New Roman" w:eastAsia="Times New Roman" w:hAnsi="Times New Roman" w:cs="Times New Roman"/>
          <w:b/>
          <w:bCs/>
          <w:i/>
          <w:spacing w:val="3"/>
          <w:sz w:val="24"/>
          <w:szCs w:val="24"/>
        </w:rPr>
        <w:t xml:space="preserve"> </w:t>
      </w:r>
      <w:r w:rsidR="00E938C6" w:rsidRPr="00F36BBF">
        <w:rPr>
          <w:rFonts w:ascii="Times New Roman" w:eastAsia="Times New Roman" w:hAnsi="Times New Roman" w:cs="Times New Roman"/>
          <w:b/>
          <w:bCs/>
          <w:i/>
          <w:sz w:val="24"/>
          <w:szCs w:val="24"/>
        </w:rPr>
        <w:t xml:space="preserve">privind </w:t>
      </w:r>
      <w:r w:rsidR="00D66C58">
        <w:rPr>
          <w:rFonts w:ascii="Times New Roman" w:eastAsia="Times New Roman" w:hAnsi="Times New Roman" w:cs="Times New Roman"/>
          <w:b/>
          <w:bCs/>
          <w:i/>
          <w:sz w:val="24"/>
          <w:szCs w:val="24"/>
        </w:rPr>
        <w:t xml:space="preserve">informarea și </w:t>
      </w:r>
      <w:r w:rsidR="00E938C6" w:rsidRPr="00F36BBF">
        <w:rPr>
          <w:rFonts w:ascii="Times New Roman" w:eastAsia="Times New Roman" w:hAnsi="Times New Roman" w:cs="Times New Roman"/>
          <w:b/>
          <w:bCs/>
          <w:i/>
          <w:sz w:val="24"/>
          <w:szCs w:val="24"/>
        </w:rPr>
        <w:t xml:space="preserve">consultarea </w:t>
      </w:r>
      <w:r w:rsidR="00D66C58">
        <w:rPr>
          <w:rFonts w:ascii="Times New Roman" w:eastAsia="Times New Roman" w:hAnsi="Times New Roman" w:cs="Times New Roman"/>
          <w:b/>
          <w:bCs/>
          <w:i/>
          <w:sz w:val="24"/>
          <w:szCs w:val="24"/>
        </w:rPr>
        <w:t>publică</w:t>
      </w:r>
      <w:r w:rsidR="00E938C6" w:rsidRPr="00F36BBF">
        <w:rPr>
          <w:rFonts w:ascii="Times New Roman" w:eastAsia="Times New Roman" w:hAnsi="Times New Roman" w:cs="Times New Roman"/>
          <w:b/>
          <w:bCs/>
          <w:i/>
          <w:sz w:val="24"/>
          <w:szCs w:val="24"/>
        </w:rPr>
        <w:t xml:space="preserve"> în procesul elaborării și aprobării documentației</w:t>
      </w:r>
      <w:r w:rsidR="00EA2685">
        <w:rPr>
          <w:rFonts w:ascii="Times New Roman" w:eastAsia="Times New Roman" w:hAnsi="Times New Roman" w:cs="Times New Roman"/>
          <w:b/>
          <w:bCs/>
          <w:i/>
          <w:sz w:val="24"/>
          <w:szCs w:val="24"/>
        </w:rPr>
        <w:t xml:space="preserve"> de </w:t>
      </w:r>
      <w:r>
        <w:rPr>
          <w:rFonts w:ascii="Times New Roman" w:eastAsia="Times New Roman" w:hAnsi="Times New Roman" w:cs="Times New Roman"/>
          <w:b/>
          <w:bCs/>
          <w:i/>
          <w:sz w:val="24"/>
          <w:szCs w:val="24"/>
        </w:rPr>
        <w:t xml:space="preserve">amenajare </w:t>
      </w:r>
      <w:r w:rsidR="00EA2685">
        <w:rPr>
          <w:rFonts w:ascii="Times New Roman" w:eastAsia="Times New Roman" w:hAnsi="Times New Roman" w:cs="Times New Roman"/>
          <w:b/>
          <w:bCs/>
          <w:i/>
          <w:sz w:val="24"/>
          <w:szCs w:val="24"/>
        </w:rPr>
        <w:t xml:space="preserve">a teritoriului </w:t>
      </w:r>
      <w:r>
        <w:rPr>
          <w:rFonts w:ascii="Times New Roman" w:eastAsia="Times New Roman" w:hAnsi="Times New Roman" w:cs="Times New Roman"/>
          <w:b/>
          <w:bCs/>
          <w:i/>
          <w:sz w:val="24"/>
          <w:szCs w:val="24"/>
        </w:rPr>
        <w:t>ș</w:t>
      </w:r>
      <w:r w:rsidR="00EA2685">
        <w:rPr>
          <w:rFonts w:ascii="Times New Roman" w:eastAsia="Times New Roman" w:hAnsi="Times New Roman" w:cs="Times New Roman"/>
          <w:b/>
          <w:bCs/>
          <w:i/>
          <w:sz w:val="24"/>
          <w:szCs w:val="24"/>
        </w:rPr>
        <w:t xml:space="preserve">i </w:t>
      </w:r>
      <w:r>
        <w:rPr>
          <w:rFonts w:ascii="Times New Roman" w:eastAsia="Times New Roman" w:hAnsi="Times New Roman" w:cs="Times New Roman"/>
          <w:b/>
          <w:bCs/>
          <w:i/>
          <w:sz w:val="24"/>
          <w:szCs w:val="24"/>
        </w:rPr>
        <w:t xml:space="preserve">de </w:t>
      </w:r>
      <w:r w:rsidR="00EA2685">
        <w:rPr>
          <w:rFonts w:ascii="Times New Roman" w:eastAsia="Times New Roman" w:hAnsi="Times New Roman" w:cs="Times New Roman"/>
          <w:b/>
          <w:bCs/>
          <w:i/>
          <w:sz w:val="24"/>
          <w:szCs w:val="24"/>
        </w:rPr>
        <w:t>urbanism</w:t>
      </w:r>
    </w:p>
    <w:p w:rsidR="009542D1" w:rsidRPr="00F36BBF" w:rsidRDefault="009542D1" w:rsidP="009542D1">
      <w:pPr>
        <w:tabs>
          <w:tab w:val="left" w:pos="6390"/>
        </w:tabs>
        <w:spacing w:after="0" w:line="240" w:lineRule="auto"/>
        <w:ind w:left="720" w:right="9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(număr unic 141/MIDR/2025)</w:t>
      </w:r>
    </w:p>
    <w:p w:rsidR="00CE5BD4" w:rsidRPr="00F36BBF" w:rsidRDefault="00CE5BD4" w:rsidP="00E938C6">
      <w:pPr>
        <w:tabs>
          <w:tab w:val="left" w:pos="6390"/>
        </w:tabs>
        <w:spacing w:after="0" w:line="240" w:lineRule="auto"/>
        <w:ind w:left="720" w:right="920"/>
        <w:jc w:val="center"/>
        <w:rPr>
          <w:rFonts w:ascii="Times New Roman" w:eastAsia="Times New Roman" w:hAnsi="Times New Roman" w:cs="Times New Roman"/>
          <w:b/>
          <w:bCs/>
          <w:i/>
          <w:sz w:val="24"/>
          <w:szCs w:val="24"/>
        </w:rPr>
      </w:pPr>
    </w:p>
    <w:tbl>
      <w:tblPr>
        <w:tblStyle w:val="a4"/>
        <w:tblW w:w="0" w:type="auto"/>
        <w:tblInd w:w="-522" w:type="dxa"/>
        <w:tblLook w:val="04A0" w:firstRow="1" w:lastRow="0" w:firstColumn="1" w:lastColumn="0" w:noHBand="0" w:noVBand="1"/>
      </w:tblPr>
      <w:tblGrid>
        <w:gridCol w:w="9630"/>
      </w:tblGrid>
      <w:tr w:rsidR="0090612E" w:rsidRPr="00F36BBF" w:rsidTr="0090612E">
        <w:tc>
          <w:tcPr>
            <w:tcW w:w="9630" w:type="dxa"/>
          </w:tcPr>
          <w:p w:rsidR="0090612E" w:rsidRPr="00F36BBF" w:rsidRDefault="0090612E" w:rsidP="00F36BBF">
            <w:pPr>
              <w:tabs>
                <w:tab w:val="left" w:pos="5202"/>
              </w:tabs>
              <w:ind w:firstLine="702"/>
              <w:jc w:val="both"/>
              <w:rPr>
                <w:rFonts w:ascii="Times New Roman" w:eastAsia="Times New Roman" w:hAnsi="Times New Roman" w:cs="Times New Roman"/>
                <w:sz w:val="24"/>
                <w:szCs w:val="24"/>
              </w:rPr>
            </w:pPr>
            <w:r w:rsidRPr="00F36BBF">
              <w:rPr>
                <w:rFonts w:ascii="Times New Roman" w:eastAsia="Times New Roman" w:hAnsi="Times New Roman" w:cs="Times New Roman"/>
                <w:b/>
                <w:bCs/>
                <w:sz w:val="24"/>
                <w:szCs w:val="24"/>
              </w:rPr>
              <w:t>1.</w:t>
            </w:r>
            <w:r w:rsidRPr="00F36BBF">
              <w:rPr>
                <w:rFonts w:ascii="Times New Roman" w:eastAsia="Times New Roman" w:hAnsi="Times New Roman" w:cs="Times New Roman"/>
                <w:b/>
                <w:bCs/>
                <w:spacing w:val="-14"/>
                <w:sz w:val="24"/>
                <w:szCs w:val="24"/>
              </w:rPr>
              <w:t xml:space="preserve"> </w:t>
            </w:r>
            <w:r w:rsidRPr="00F36BBF">
              <w:rPr>
                <w:rFonts w:ascii="Times New Roman" w:eastAsia="Times New Roman" w:hAnsi="Times New Roman" w:cs="Times New Roman"/>
                <w:b/>
                <w:bCs/>
                <w:sz w:val="24"/>
                <w:szCs w:val="24"/>
              </w:rPr>
              <w:t>D</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pacing w:val="1"/>
                <w:sz w:val="24"/>
                <w:szCs w:val="24"/>
              </w:rPr>
              <w:t>num</w:t>
            </w:r>
            <w:r w:rsidRPr="00F36BBF">
              <w:rPr>
                <w:rFonts w:ascii="Times New Roman" w:eastAsia="Times New Roman" w:hAnsi="Times New Roman" w:cs="Times New Roman"/>
                <w:b/>
                <w:bCs/>
                <w:sz w:val="24"/>
                <w:szCs w:val="24"/>
              </w:rPr>
              <w:t>ir</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3"/>
                <w:sz w:val="24"/>
                <w:szCs w:val="24"/>
              </w:rPr>
              <w:t xml:space="preserve"> </w:t>
            </w:r>
            <w:r w:rsidRPr="00F36BBF">
              <w:rPr>
                <w:rFonts w:ascii="Times New Roman" w:eastAsia="Times New Roman" w:hAnsi="Times New Roman" w:cs="Times New Roman"/>
                <w:b/>
                <w:bCs/>
                <w:sz w:val="24"/>
                <w:szCs w:val="24"/>
              </w:rPr>
              <w:t>sau</w:t>
            </w:r>
            <w:r w:rsidRPr="00F36BBF">
              <w:rPr>
                <w:rFonts w:ascii="Times New Roman" w:eastAsia="Times New Roman" w:hAnsi="Times New Roman" w:cs="Times New Roman"/>
                <w:b/>
                <w:bCs/>
                <w:spacing w:val="-16"/>
                <w:sz w:val="24"/>
                <w:szCs w:val="24"/>
              </w:rPr>
              <w:t xml:space="preserve"> </w:t>
            </w:r>
            <w:r w:rsidRPr="00F36BBF">
              <w:rPr>
                <w:rFonts w:ascii="Times New Roman" w:eastAsia="Times New Roman" w:hAnsi="Times New Roman" w:cs="Times New Roman"/>
                <w:b/>
                <w:bCs/>
                <w:spacing w:val="1"/>
                <w:sz w:val="24"/>
                <w:szCs w:val="24"/>
              </w:rPr>
              <w:t>n</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z w:val="24"/>
                <w:szCs w:val="24"/>
              </w:rPr>
              <w:t>le</w:t>
            </w:r>
            <w:r w:rsidRPr="00F36BBF">
              <w:rPr>
                <w:rFonts w:ascii="Times New Roman" w:eastAsia="Times New Roman" w:hAnsi="Times New Roman" w:cs="Times New Roman"/>
                <w:b/>
                <w:bCs/>
                <w:spacing w:val="-14"/>
                <w:sz w:val="24"/>
                <w:szCs w:val="24"/>
              </w:rPr>
              <w:t xml:space="preserve"> </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to</w:t>
            </w:r>
            <w:r w:rsidRPr="00F36BBF">
              <w:rPr>
                <w:rFonts w:ascii="Times New Roman" w:eastAsia="Times New Roman" w:hAnsi="Times New Roman" w:cs="Times New Roman"/>
                <w:b/>
                <w:bCs/>
                <w:spacing w:val="-2"/>
                <w:sz w:val="24"/>
                <w:szCs w:val="24"/>
              </w:rPr>
              <w:t>r</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3"/>
                <w:sz w:val="24"/>
                <w:szCs w:val="24"/>
              </w:rPr>
              <w:t xml:space="preserve"> </w:t>
            </w:r>
            <w:r w:rsidRPr="00F36BBF">
              <w:rPr>
                <w:rFonts w:ascii="Times New Roman" w:eastAsia="Times New Roman" w:hAnsi="Times New Roman" w:cs="Times New Roman"/>
                <w:b/>
                <w:bCs/>
                <w:sz w:val="24"/>
                <w:szCs w:val="24"/>
              </w:rPr>
              <w:t>și,</w:t>
            </w:r>
            <w:r w:rsidRPr="00F36BBF">
              <w:rPr>
                <w:rFonts w:ascii="Times New Roman" w:eastAsia="Times New Roman" w:hAnsi="Times New Roman" w:cs="Times New Roman"/>
                <w:b/>
                <w:bCs/>
                <w:spacing w:val="-17"/>
                <w:sz w:val="24"/>
                <w:szCs w:val="24"/>
              </w:rPr>
              <w:t xml:space="preserve"> </w:t>
            </w:r>
            <w:r w:rsidRPr="00F36BBF">
              <w:rPr>
                <w:rFonts w:ascii="Times New Roman" w:eastAsia="Times New Roman" w:hAnsi="Times New Roman" w:cs="Times New Roman"/>
                <w:b/>
                <w:bCs/>
                <w:spacing w:val="1"/>
                <w:sz w:val="24"/>
                <w:szCs w:val="24"/>
              </w:rPr>
              <w:t>dup</w:t>
            </w:r>
            <w:r w:rsidRPr="00F36BBF">
              <w:rPr>
                <w:rFonts w:ascii="Times New Roman" w:eastAsia="Times New Roman" w:hAnsi="Times New Roman" w:cs="Times New Roman"/>
                <w:b/>
                <w:bCs/>
                <w:sz w:val="24"/>
                <w:szCs w:val="24"/>
              </w:rPr>
              <w:t>ă</w:t>
            </w:r>
            <w:r w:rsidRPr="00F36BBF">
              <w:rPr>
                <w:rFonts w:ascii="Times New Roman" w:eastAsia="Times New Roman" w:hAnsi="Times New Roman" w:cs="Times New Roman"/>
                <w:b/>
                <w:bCs/>
                <w:spacing w:val="-17"/>
                <w:sz w:val="24"/>
                <w:szCs w:val="24"/>
              </w:rPr>
              <w:t xml:space="preserve"> </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z</w:t>
            </w:r>
            <w:r w:rsidRPr="00F36BBF">
              <w:rPr>
                <w:rFonts w:ascii="Times New Roman" w:eastAsia="Times New Roman" w:hAnsi="Times New Roman" w:cs="Times New Roman"/>
                <w:b/>
                <w:bCs/>
                <w:sz w:val="24"/>
                <w:szCs w:val="24"/>
              </w:rPr>
              <w:t>,</w:t>
            </w:r>
            <w:r w:rsidRPr="00F36BBF">
              <w:rPr>
                <w:rFonts w:ascii="Times New Roman" w:eastAsia="Times New Roman" w:hAnsi="Times New Roman" w:cs="Times New Roman"/>
                <w:b/>
                <w:bCs/>
                <w:spacing w:val="-14"/>
                <w:sz w:val="24"/>
                <w:szCs w:val="24"/>
              </w:rPr>
              <w:t xml:space="preserve"> </w:t>
            </w:r>
            <w:r w:rsidRPr="00F36BBF">
              <w:rPr>
                <w:rFonts w:ascii="Times New Roman" w:eastAsia="Times New Roman" w:hAnsi="Times New Roman" w:cs="Times New Roman"/>
                <w:b/>
                <w:bCs/>
                <w:sz w:val="24"/>
                <w:szCs w:val="24"/>
              </w:rPr>
              <w:t>a/al</w:t>
            </w:r>
            <w:r w:rsidRPr="00F36BBF">
              <w:rPr>
                <w:rFonts w:ascii="Times New Roman" w:eastAsia="Times New Roman" w:hAnsi="Times New Roman" w:cs="Times New Roman"/>
                <w:b/>
                <w:bCs/>
                <w:spacing w:val="-13"/>
                <w:sz w:val="24"/>
                <w:szCs w:val="24"/>
              </w:rPr>
              <w:t xml:space="preserve"> </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ti</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2"/>
                <w:sz w:val="24"/>
                <w:szCs w:val="24"/>
              </w:rPr>
              <w:t>n</w:t>
            </w:r>
            <w:r w:rsidRPr="00F36BBF">
              <w:rPr>
                <w:rFonts w:ascii="Times New Roman" w:eastAsia="Times New Roman" w:hAnsi="Times New Roman" w:cs="Times New Roman"/>
                <w:b/>
                <w:bCs/>
                <w:spacing w:val="-1"/>
                <w:sz w:val="24"/>
                <w:szCs w:val="24"/>
              </w:rPr>
              <w:t>ț</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l</w:t>
            </w:r>
            <w:r w:rsidRPr="00F36BBF">
              <w:rPr>
                <w:rFonts w:ascii="Times New Roman" w:eastAsia="Times New Roman" w:hAnsi="Times New Roman" w:cs="Times New Roman"/>
                <w:b/>
                <w:bCs/>
                <w:sz w:val="24"/>
                <w:szCs w:val="24"/>
              </w:rPr>
              <w:t>or</w:t>
            </w:r>
            <w:r w:rsidRPr="00F36BBF">
              <w:rPr>
                <w:rFonts w:ascii="Times New Roman" w:eastAsia="Times New Roman" w:hAnsi="Times New Roman" w:cs="Times New Roman"/>
                <w:b/>
                <w:bCs/>
                <w:spacing w:val="-15"/>
                <w:sz w:val="24"/>
                <w:szCs w:val="24"/>
              </w:rPr>
              <w:t xml:space="preserve"> </w:t>
            </w:r>
            <w:r w:rsidRPr="00F36BBF">
              <w:rPr>
                <w:rFonts w:ascii="Times New Roman" w:eastAsia="Times New Roman" w:hAnsi="Times New Roman" w:cs="Times New Roman"/>
                <w:b/>
                <w:bCs/>
                <w:sz w:val="24"/>
                <w:szCs w:val="24"/>
              </w:rPr>
              <w:t>la</w:t>
            </w:r>
            <w:r w:rsidRPr="00F36BBF">
              <w:rPr>
                <w:rFonts w:ascii="Times New Roman" w:eastAsia="Times New Roman" w:hAnsi="Times New Roman" w:cs="Times New Roman"/>
                <w:b/>
                <w:bCs/>
                <w:spacing w:val="-14"/>
                <w:sz w:val="24"/>
                <w:szCs w:val="24"/>
              </w:rPr>
              <w:t xml:space="preserve"> </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pacing w:val="-2"/>
                <w:sz w:val="24"/>
                <w:szCs w:val="24"/>
              </w:rPr>
              <w:t>l</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b</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re</w:t>
            </w:r>
            <w:r w:rsidRPr="00F36BBF">
              <w:rPr>
                <w:rFonts w:ascii="Times New Roman" w:eastAsia="Times New Roman" w:hAnsi="Times New Roman" w:cs="Times New Roman"/>
                <w:b/>
                <w:bCs/>
                <w:sz w:val="24"/>
                <w:szCs w:val="24"/>
              </w:rPr>
              <w:t xml:space="preserve">a </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oie</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 xml:space="preserve"> n</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3"/>
                <w:sz w:val="24"/>
                <w:szCs w:val="24"/>
              </w:rPr>
              <w:t>r</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z w:val="24"/>
                <w:szCs w:val="24"/>
              </w:rPr>
              <w:t>ativ</w:t>
            </w:r>
          </w:p>
        </w:tc>
      </w:tr>
      <w:tr w:rsidR="0090612E" w:rsidRPr="00F36BBF" w:rsidTr="0090612E">
        <w:tc>
          <w:tcPr>
            <w:tcW w:w="9630" w:type="dxa"/>
          </w:tcPr>
          <w:p w:rsidR="0090612E" w:rsidRPr="00F36BBF" w:rsidRDefault="0090612E" w:rsidP="00D66C58">
            <w:pPr>
              <w:tabs>
                <w:tab w:val="left" w:pos="3762"/>
                <w:tab w:val="left" w:pos="5472"/>
              </w:tabs>
              <w:ind w:firstLine="702"/>
              <w:jc w:val="both"/>
              <w:rPr>
                <w:rFonts w:ascii="Times New Roman" w:eastAsia="Times New Roman" w:hAnsi="Times New Roman" w:cs="Times New Roman"/>
                <w:sz w:val="24"/>
                <w:szCs w:val="24"/>
              </w:rPr>
            </w:pPr>
            <w:r w:rsidRPr="00F36BBF">
              <w:rPr>
                <w:rFonts w:ascii="Times New Roman" w:eastAsia="Times New Roman" w:hAnsi="Times New Roman" w:cs="Times New Roman"/>
                <w:spacing w:val="1"/>
                <w:sz w:val="24"/>
                <w:szCs w:val="24"/>
              </w:rPr>
              <w:t>P</w:t>
            </w:r>
            <w:r w:rsidRPr="00F36BBF">
              <w:rPr>
                <w:rFonts w:ascii="Times New Roman" w:eastAsia="Times New Roman" w:hAnsi="Times New Roman" w:cs="Times New Roman"/>
                <w:sz w:val="24"/>
                <w:szCs w:val="24"/>
              </w:rPr>
              <w:t>roi</w:t>
            </w:r>
            <w:r w:rsidRPr="00F36BBF">
              <w:rPr>
                <w:rFonts w:ascii="Times New Roman" w:eastAsia="Times New Roman" w:hAnsi="Times New Roman" w:cs="Times New Roman"/>
                <w:spacing w:val="-1"/>
                <w:sz w:val="24"/>
                <w:szCs w:val="24"/>
              </w:rPr>
              <w:t>ec</w:t>
            </w:r>
            <w:r w:rsidRPr="00F36BBF">
              <w:rPr>
                <w:rFonts w:ascii="Times New Roman" w:eastAsia="Times New Roman" w:hAnsi="Times New Roman" w:cs="Times New Roman"/>
                <w:sz w:val="24"/>
                <w:szCs w:val="24"/>
              </w:rPr>
              <w:t xml:space="preserve">tul </w:t>
            </w:r>
            <w:r w:rsidRPr="00F36BBF">
              <w:rPr>
                <w:rFonts w:ascii="Times New Roman" w:eastAsia="Times New Roman" w:hAnsi="Times New Roman" w:cs="Times New Roman"/>
                <w:spacing w:val="45"/>
                <w:sz w:val="24"/>
                <w:szCs w:val="24"/>
              </w:rPr>
              <w:t xml:space="preserve"> </w:t>
            </w:r>
            <w:r w:rsidR="00CE5BD4">
              <w:rPr>
                <w:rFonts w:ascii="Times New Roman" w:eastAsia="Times New Roman" w:hAnsi="Times New Roman" w:cs="Times New Roman"/>
                <w:sz w:val="24"/>
                <w:szCs w:val="24"/>
              </w:rPr>
              <w:t>h</w:t>
            </w:r>
            <w:r w:rsidRPr="00F36BBF">
              <w:rPr>
                <w:rFonts w:ascii="Times New Roman" w:eastAsia="Times New Roman" w:hAnsi="Times New Roman" w:cs="Times New Roman"/>
                <w:sz w:val="24"/>
                <w:szCs w:val="24"/>
              </w:rPr>
              <w:t xml:space="preserve">otărârii Guvernului </w:t>
            </w:r>
            <w:r w:rsidRPr="00F36BBF">
              <w:rPr>
                <w:rFonts w:ascii="Times New Roman" w:eastAsia="Times New Roman" w:hAnsi="Times New Roman" w:cs="Times New Roman"/>
                <w:spacing w:val="2"/>
                <w:sz w:val="24"/>
                <w:szCs w:val="24"/>
              </w:rPr>
              <w:t xml:space="preserve"> </w:t>
            </w:r>
            <w:r w:rsidR="00210F90">
              <w:rPr>
                <w:rFonts w:ascii="Times New Roman" w:eastAsia="Times New Roman" w:hAnsi="Times New Roman" w:cs="Times New Roman"/>
                <w:spacing w:val="2"/>
                <w:sz w:val="24"/>
                <w:szCs w:val="24"/>
              </w:rPr>
              <w:t xml:space="preserve">pentru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pacing w:val="2"/>
                <w:sz w:val="24"/>
                <w:szCs w:val="24"/>
              </w:rPr>
              <w:t>p</w:t>
            </w:r>
            <w:r w:rsidRPr="00F36BBF">
              <w:rPr>
                <w:rFonts w:ascii="Times New Roman" w:eastAsia="Times New Roman" w:hAnsi="Times New Roman" w:cs="Times New Roman"/>
                <w:sz w:val="24"/>
                <w:szCs w:val="24"/>
              </w:rPr>
              <w:t>rob</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z w:val="24"/>
                <w:szCs w:val="24"/>
              </w:rPr>
              <w:t xml:space="preserve">rea </w:t>
            </w:r>
            <w:r w:rsidR="00210F90">
              <w:rPr>
                <w:rFonts w:ascii="Times New Roman" w:eastAsia="Times New Roman" w:hAnsi="Times New Roman" w:cs="Times New Roman"/>
                <w:sz w:val="24"/>
                <w:szCs w:val="24"/>
              </w:rPr>
              <w:t>R</w:t>
            </w:r>
            <w:r w:rsidR="00E938C6" w:rsidRPr="00F36BBF">
              <w:rPr>
                <w:rFonts w:ascii="Times New Roman" w:eastAsia="Times New Roman" w:hAnsi="Times New Roman" w:cs="Times New Roman"/>
                <w:spacing w:val="5"/>
                <w:sz w:val="24"/>
                <w:szCs w:val="24"/>
              </w:rPr>
              <w:t xml:space="preserve">egulamentului  privind </w:t>
            </w:r>
            <w:r w:rsidR="00D66C58">
              <w:rPr>
                <w:rFonts w:ascii="Times New Roman" w:eastAsia="Times New Roman" w:hAnsi="Times New Roman" w:cs="Times New Roman"/>
                <w:spacing w:val="5"/>
                <w:sz w:val="24"/>
                <w:szCs w:val="24"/>
              </w:rPr>
              <w:t xml:space="preserve">informarea și </w:t>
            </w:r>
            <w:r w:rsidR="00E938C6" w:rsidRPr="00F36BBF">
              <w:rPr>
                <w:rFonts w:ascii="Times New Roman" w:eastAsia="Times New Roman" w:hAnsi="Times New Roman" w:cs="Times New Roman"/>
                <w:spacing w:val="5"/>
                <w:sz w:val="24"/>
                <w:szCs w:val="24"/>
              </w:rPr>
              <w:t xml:space="preserve">consultarea </w:t>
            </w:r>
            <w:r w:rsidR="00D66C58">
              <w:rPr>
                <w:rFonts w:ascii="Times New Roman" w:eastAsia="Times New Roman" w:hAnsi="Times New Roman" w:cs="Times New Roman"/>
                <w:spacing w:val="5"/>
                <w:sz w:val="24"/>
                <w:szCs w:val="24"/>
              </w:rPr>
              <w:t>publică</w:t>
            </w:r>
            <w:r w:rsidR="00E938C6" w:rsidRPr="00F36BBF">
              <w:rPr>
                <w:rFonts w:ascii="Times New Roman" w:eastAsia="Times New Roman" w:hAnsi="Times New Roman" w:cs="Times New Roman"/>
                <w:spacing w:val="5"/>
                <w:sz w:val="24"/>
                <w:szCs w:val="24"/>
              </w:rPr>
              <w:t xml:space="preserve"> în procesul elaborării și aprobării documentației</w:t>
            </w:r>
            <w:r w:rsidR="00210F90">
              <w:rPr>
                <w:rFonts w:ascii="Times New Roman" w:eastAsia="Times New Roman" w:hAnsi="Times New Roman" w:cs="Times New Roman"/>
                <w:spacing w:val="5"/>
                <w:sz w:val="24"/>
                <w:szCs w:val="24"/>
              </w:rPr>
              <w:t xml:space="preserve"> de amenajare a teritoriului și de urbanism </w:t>
            </w:r>
            <w:r w:rsidRPr="00F36BBF">
              <w:rPr>
                <w:rFonts w:ascii="Times New Roman" w:eastAsia="Times New Roman" w:hAnsi="Times New Roman" w:cs="Times New Roman"/>
                <w:sz w:val="24"/>
                <w:szCs w:val="24"/>
              </w:rPr>
              <w:t>a fost</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l</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z w:val="24"/>
                <w:szCs w:val="24"/>
              </w:rPr>
              <w:t>bor</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3"/>
                <w:sz w:val="24"/>
                <w:szCs w:val="24"/>
              </w:rPr>
              <w:t xml:space="preserve"> </w:t>
            </w:r>
            <w:r w:rsidRPr="00F36BBF">
              <w:rPr>
                <w:rFonts w:ascii="Times New Roman" w:eastAsia="Times New Roman" w:hAnsi="Times New Roman" w:cs="Times New Roman"/>
                <w:sz w:val="24"/>
                <w:szCs w:val="24"/>
              </w:rPr>
              <w:t xml:space="preserve">de </w:t>
            </w:r>
            <w:r w:rsidRPr="00F36BBF">
              <w:rPr>
                <w:rFonts w:ascii="Times New Roman" w:eastAsia="Times New Roman" w:hAnsi="Times New Roman" w:cs="Times New Roman"/>
                <w:spacing w:val="-1"/>
                <w:sz w:val="24"/>
                <w:szCs w:val="24"/>
              </w:rPr>
              <w:t>că</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2"/>
                <w:sz w:val="24"/>
                <w:szCs w:val="24"/>
              </w:rPr>
              <w:t>r</w:t>
            </w:r>
            <w:r w:rsidRPr="00F36BBF">
              <w:rPr>
                <w:rFonts w:ascii="Times New Roman" w:eastAsia="Times New Roman" w:hAnsi="Times New Roman" w:cs="Times New Roman"/>
                <w:sz w:val="24"/>
                <w:szCs w:val="24"/>
              </w:rPr>
              <w:t>e Min</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ste</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pacing w:val="2"/>
                <w:sz w:val="24"/>
                <w:szCs w:val="24"/>
              </w:rPr>
              <w:t>u</w:t>
            </w:r>
            <w:r w:rsidR="00EA2685">
              <w:rPr>
                <w:rFonts w:ascii="Times New Roman" w:eastAsia="Times New Roman" w:hAnsi="Times New Roman" w:cs="Times New Roman"/>
                <w:sz w:val="24"/>
                <w:szCs w:val="24"/>
              </w:rPr>
              <w:t>l</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pacing w:val="-3"/>
                <w:sz w:val="24"/>
                <w:szCs w:val="24"/>
              </w:rPr>
              <w:t>I</w:t>
            </w:r>
            <w:r w:rsidRPr="00F36BBF">
              <w:rPr>
                <w:rFonts w:ascii="Times New Roman" w:eastAsia="Times New Roman" w:hAnsi="Times New Roman" w:cs="Times New Roman"/>
                <w:sz w:val="24"/>
                <w:szCs w:val="24"/>
              </w:rPr>
              <w:t>n</w:t>
            </w:r>
            <w:r w:rsidRPr="00F36BBF">
              <w:rPr>
                <w:rFonts w:ascii="Times New Roman" w:eastAsia="Times New Roman" w:hAnsi="Times New Roman" w:cs="Times New Roman"/>
                <w:spacing w:val="1"/>
                <w:sz w:val="24"/>
                <w:szCs w:val="24"/>
              </w:rPr>
              <w:t>f</w:t>
            </w:r>
            <w:r w:rsidRPr="00F36BBF">
              <w:rPr>
                <w:rFonts w:ascii="Times New Roman" w:eastAsia="Times New Roman" w:hAnsi="Times New Roman" w:cs="Times New Roman"/>
                <w:sz w:val="24"/>
                <w:szCs w:val="24"/>
              </w:rPr>
              <w:t>r</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z w:val="24"/>
                <w:szCs w:val="24"/>
              </w:rPr>
              <w:t>stru</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turii</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z w:val="24"/>
                <w:szCs w:val="24"/>
              </w:rPr>
              <w:t>și D</w:t>
            </w:r>
            <w:r w:rsidRPr="00F36BBF">
              <w:rPr>
                <w:rFonts w:ascii="Times New Roman" w:eastAsia="Times New Roman" w:hAnsi="Times New Roman" w:cs="Times New Roman"/>
                <w:spacing w:val="-1"/>
                <w:sz w:val="24"/>
                <w:szCs w:val="24"/>
              </w:rPr>
              <w:t>ez</w:t>
            </w:r>
            <w:r w:rsidRPr="00F36BBF">
              <w:rPr>
                <w:rFonts w:ascii="Times New Roman" w:eastAsia="Times New Roman" w:hAnsi="Times New Roman" w:cs="Times New Roman"/>
                <w:sz w:val="24"/>
                <w:szCs w:val="24"/>
              </w:rPr>
              <w:t>vol</w:t>
            </w:r>
            <w:r w:rsidRPr="00F36BBF">
              <w:rPr>
                <w:rFonts w:ascii="Times New Roman" w:eastAsia="Times New Roman" w:hAnsi="Times New Roman" w:cs="Times New Roman"/>
                <w:spacing w:val="1"/>
                <w:sz w:val="24"/>
                <w:szCs w:val="24"/>
              </w:rPr>
              <w:t>t</w:t>
            </w:r>
            <w:r w:rsidRPr="00F36BBF">
              <w:rPr>
                <w:rFonts w:ascii="Times New Roman" w:eastAsia="Times New Roman" w:hAnsi="Times New Roman" w:cs="Times New Roman"/>
                <w:spacing w:val="-1"/>
                <w:sz w:val="24"/>
                <w:szCs w:val="24"/>
              </w:rPr>
              <w:t>ă</w:t>
            </w:r>
            <w:r w:rsidRPr="00F36BBF">
              <w:rPr>
                <w:rFonts w:ascii="Times New Roman" w:eastAsia="Times New Roman" w:hAnsi="Times New Roman" w:cs="Times New Roman"/>
                <w:sz w:val="24"/>
                <w:szCs w:val="24"/>
              </w:rPr>
              <w:t xml:space="preserve">rii </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gionale</w:t>
            </w:r>
            <w:r w:rsidRPr="00F36BBF">
              <w:rPr>
                <w:rFonts w:ascii="Times New Roman" w:eastAsia="Times New Roman" w:hAnsi="Times New Roman" w:cs="Times New Roman"/>
                <w:spacing w:val="3"/>
                <w:sz w:val="24"/>
                <w:szCs w:val="24"/>
              </w:rPr>
              <w:t xml:space="preserve"> </w:t>
            </w:r>
            <w:r w:rsidRPr="00F36BBF">
              <w:rPr>
                <w:rFonts w:ascii="Times New Roman" w:eastAsia="Times New Roman" w:hAnsi="Times New Roman" w:cs="Times New Roman"/>
                <w:sz w:val="24"/>
                <w:szCs w:val="24"/>
              </w:rPr>
              <w:t xml:space="preserve">(în </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ont</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nu</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re</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 Min</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ste</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z w:val="24"/>
                <w:szCs w:val="24"/>
              </w:rPr>
              <w:t>ul).</w:t>
            </w:r>
          </w:p>
        </w:tc>
      </w:tr>
      <w:tr w:rsidR="0090612E" w:rsidRPr="00F36BBF" w:rsidTr="0090612E">
        <w:tc>
          <w:tcPr>
            <w:tcW w:w="9630" w:type="dxa"/>
          </w:tcPr>
          <w:p w:rsidR="0090612E" w:rsidRPr="00F36BBF" w:rsidRDefault="0090612E" w:rsidP="00F36BBF">
            <w:pPr>
              <w:ind w:right="-20" w:firstLine="702"/>
              <w:jc w:val="both"/>
              <w:rPr>
                <w:rFonts w:ascii="Times New Roman" w:eastAsia="Times New Roman" w:hAnsi="Times New Roman" w:cs="Times New Roman"/>
                <w:sz w:val="24"/>
                <w:szCs w:val="24"/>
              </w:rPr>
            </w:pPr>
            <w:r w:rsidRPr="00F36BBF">
              <w:rPr>
                <w:rFonts w:ascii="Times New Roman" w:eastAsia="Times New Roman" w:hAnsi="Times New Roman" w:cs="Times New Roman"/>
                <w:b/>
                <w:bCs/>
                <w:sz w:val="24"/>
                <w:szCs w:val="24"/>
              </w:rPr>
              <w:t>2. Con</w:t>
            </w:r>
            <w:r w:rsidRPr="00F36BBF">
              <w:rPr>
                <w:rFonts w:ascii="Times New Roman" w:eastAsia="Times New Roman" w:hAnsi="Times New Roman" w:cs="Times New Roman"/>
                <w:b/>
                <w:bCs/>
                <w:spacing w:val="1"/>
                <w:sz w:val="24"/>
                <w:szCs w:val="24"/>
              </w:rPr>
              <w:t>di</w:t>
            </w:r>
            <w:r w:rsidRPr="00F36BBF">
              <w:rPr>
                <w:rFonts w:ascii="Times New Roman" w:eastAsia="Times New Roman" w:hAnsi="Times New Roman" w:cs="Times New Roman"/>
                <w:b/>
                <w:bCs/>
                <w:spacing w:val="-1"/>
                <w:sz w:val="24"/>
                <w:szCs w:val="24"/>
              </w:rPr>
              <w:t>ț</w:t>
            </w:r>
            <w:r w:rsidRPr="00F36BBF">
              <w:rPr>
                <w:rFonts w:ascii="Times New Roman" w:eastAsia="Times New Roman" w:hAnsi="Times New Roman" w:cs="Times New Roman"/>
                <w:b/>
                <w:bCs/>
                <w:sz w:val="24"/>
                <w:szCs w:val="24"/>
              </w:rPr>
              <w:t>iile</w:t>
            </w:r>
            <w:r w:rsidRPr="00F36BBF">
              <w:rPr>
                <w:rFonts w:ascii="Times New Roman" w:eastAsia="Times New Roman" w:hAnsi="Times New Roman" w:cs="Times New Roman"/>
                <w:b/>
                <w:bCs/>
                <w:spacing w:val="-1"/>
                <w:sz w:val="24"/>
                <w:szCs w:val="24"/>
              </w:rPr>
              <w:t xml:space="preserve"> c</w:t>
            </w:r>
            <w:r w:rsidRPr="00F36BBF">
              <w:rPr>
                <w:rFonts w:ascii="Times New Roman" w:eastAsia="Times New Roman" w:hAnsi="Times New Roman" w:cs="Times New Roman"/>
                <w:b/>
                <w:bCs/>
                <w:sz w:val="24"/>
                <w:szCs w:val="24"/>
              </w:rPr>
              <w:t>e</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au</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imp</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 xml:space="preserve">s </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z w:val="24"/>
                <w:szCs w:val="24"/>
              </w:rPr>
              <w:t>la</w:t>
            </w:r>
            <w:r w:rsidRPr="00F36BBF">
              <w:rPr>
                <w:rFonts w:ascii="Times New Roman" w:eastAsia="Times New Roman" w:hAnsi="Times New Roman" w:cs="Times New Roman"/>
                <w:b/>
                <w:bCs/>
                <w:spacing w:val="1"/>
                <w:sz w:val="24"/>
                <w:szCs w:val="24"/>
              </w:rPr>
              <w:t>b</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re</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 xml:space="preserve"> p</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oie</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 xml:space="preserve"> n</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z w:val="24"/>
                <w:szCs w:val="24"/>
              </w:rPr>
              <w:t>ativ</w:t>
            </w:r>
          </w:p>
        </w:tc>
      </w:tr>
      <w:tr w:rsidR="0090612E" w:rsidRPr="00F36BBF" w:rsidTr="0090612E">
        <w:tc>
          <w:tcPr>
            <w:tcW w:w="9630" w:type="dxa"/>
          </w:tcPr>
          <w:p w:rsidR="0090612E" w:rsidRPr="00F36BBF" w:rsidRDefault="0090612E" w:rsidP="00F36BBF">
            <w:pPr>
              <w:ind w:firstLine="702"/>
              <w:jc w:val="both"/>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2.1. T</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 xml:space="preserve">meiul </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g</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 xml:space="preserve">l sau, </w:t>
            </w:r>
            <w:r w:rsidRPr="00F36BBF">
              <w:rPr>
                <w:rFonts w:ascii="Times New Roman" w:eastAsia="Times New Roman" w:hAnsi="Times New Roman" w:cs="Times New Roman"/>
                <w:spacing w:val="2"/>
                <w:sz w:val="24"/>
                <w:szCs w:val="24"/>
              </w:rPr>
              <w:t>d</w:t>
            </w:r>
            <w:r w:rsidRPr="00F36BBF">
              <w:rPr>
                <w:rFonts w:ascii="Times New Roman" w:eastAsia="Times New Roman" w:hAnsi="Times New Roman" w:cs="Times New Roman"/>
                <w:sz w:val="24"/>
                <w:szCs w:val="24"/>
              </w:rPr>
              <w:t>upă</w:t>
            </w:r>
            <w:r w:rsidRPr="00F36BBF">
              <w:rPr>
                <w:rFonts w:ascii="Times New Roman" w:eastAsia="Times New Roman" w:hAnsi="Times New Roman" w:cs="Times New Roman"/>
                <w:spacing w:val="-1"/>
                <w:sz w:val="24"/>
                <w:szCs w:val="24"/>
              </w:rPr>
              <w:t xml:space="preserve"> c</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pacing w:val="-1"/>
                <w:sz w:val="24"/>
                <w:szCs w:val="24"/>
              </w:rPr>
              <w:t>z</w:t>
            </w:r>
            <w:r w:rsidRPr="00F36BBF">
              <w:rPr>
                <w:rFonts w:ascii="Times New Roman" w:eastAsia="Times New Roman" w:hAnsi="Times New Roman" w:cs="Times New Roman"/>
                <w:sz w:val="24"/>
                <w:szCs w:val="24"/>
              </w:rPr>
              <w:t>, sursa</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pro</w:t>
            </w:r>
            <w:r w:rsidRPr="00F36BBF">
              <w:rPr>
                <w:rFonts w:ascii="Times New Roman" w:eastAsia="Times New Roman" w:hAnsi="Times New Roman" w:cs="Times New Roman"/>
                <w:spacing w:val="2"/>
                <w:sz w:val="24"/>
                <w:szCs w:val="24"/>
              </w:rPr>
              <w:t>i</w:t>
            </w:r>
            <w:r w:rsidRPr="00F36BBF">
              <w:rPr>
                <w:rFonts w:ascii="Times New Roman" w:eastAsia="Times New Roman" w:hAnsi="Times New Roman" w:cs="Times New Roman"/>
                <w:spacing w:val="-1"/>
                <w:sz w:val="24"/>
                <w:szCs w:val="24"/>
              </w:rPr>
              <w:t>ec</w:t>
            </w:r>
            <w:r w:rsidRPr="00F36BBF">
              <w:rPr>
                <w:rFonts w:ascii="Times New Roman" w:eastAsia="Times New Roman" w:hAnsi="Times New Roman" w:cs="Times New Roman"/>
                <w:sz w:val="24"/>
                <w:szCs w:val="24"/>
              </w:rPr>
              <w:t>tu</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z w:val="24"/>
                <w:szCs w:val="24"/>
              </w:rPr>
              <w:t>ui a</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tu</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z w:val="24"/>
                <w:szCs w:val="24"/>
              </w:rPr>
              <w:t>ui norm</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v</w:t>
            </w:r>
          </w:p>
        </w:tc>
      </w:tr>
      <w:tr w:rsidR="0090612E" w:rsidRPr="00F36BBF" w:rsidTr="0090612E">
        <w:tc>
          <w:tcPr>
            <w:tcW w:w="9630" w:type="dxa"/>
          </w:tcPr>
          <w:p w:rsidR="0090612E" w:rsidRPr="00F36BBF" w:rsidRDefault="0090612E" w:rsidP="00CE5BD4">
            <w:pPr>
              <w:spacing w:line="274" w:lineRule="exact"/>
              <w:ind w:right="-20" w:firstLine="702"/>
              <w:jc w:val="both"/>
              <w:rPr>
                <w:rFonts w:ascii="Times New Roman" w:eastAsia="Times New Roman" w:hAnsi="Times New Roman" w:cs="Times New Roman"/>
                <w:sz w:val="24"/>
                <w:szCs w:val="24"/>
              </w:rPr>
            </w:pPr>
            <w:r w:rsidRPr="00F36BBF">
              <w:rPr>
                <w:rFonts w:ascii="Times New Roman" w:eastAsia="Times New Roman" w:hAnsi="Times New Roman" w:cs="Times New Roman"/>
                <w:spacing w:val="1"/>
                <w:sz w:val="24"/>
                <w:szCs w:val="24"/>
              </w:rPr>
              <w:t>P</w:t>
            </w:r>
            <w:r w:rsidRPr="00F36BBF">
              <w:rPr>
                <w:rFonts w:ascii="Times New Roman" w:eastAsia="Times New Roman" w:hAnsi="Times New Roman" w:cs="Times New Roman"/>
                <w:sz w:val="24"/>
                <w:szCs w:val="24"/>
              </w:rPr>
              <w:t>r</w:t>
            </w:r>
            <w:r w:rsidRPr="00F36BBF">
              <w:rPr>
                <w:rFonts w:ascii="Times New Roman" w:eastAsia="Times New Roman" w:hAnsi="Times New Roman" w:cs="Times New Roman"/>
                <w:spacing w:val="-2"/>
                <w:sz w:val="24"/>
                <w:szCs w:val="24"/>
              </w:rPr>
              <w:t>e</w:t>
            </w:r>
            <w:r w:rsidRPr="00F36BBF">
              <w:rPr>
                <w:rFonts w:ascii="Times New Roman" w:eastAsia="Times New Roman" w:hAnsi="Times New Roman" w:cs="Times New Roman"/>
                <w:spacing w:val="-1"/>
                <w:sz w:val="24"/>
                <w:szCs w:val="24"/>
              </w:rPr>
              <w:t>ze</w:t>
            </w:r>
            <w:r w:rsidRPr="00F36BBF">
              <w:rPr>
                <w:rFonts w:ascii="Times New Roman" w:eastAsia="Times New Roman" w:hAnsi="Times New Roman" w:cs="Times New Roman"/>
                <w:sz w:val="24"/>
                <w:szCs w:val="24"/>
              </w:rPr>
              <w:t>ntul</w:t>
            </w:r>
            <w:r w:rsidRPr="00F36BBF">
              <w:rPr>
                <w:rFonts w:ascii="Times New Roman" w:eastAsia="Times New Roman" w:hAnsi="Times New Roman" w:cs="Times New Roman"/>
                <w:spacing w:val="-4"/>
                <w:sz w:val="24"/>
                <w:szCs w:val="24"/>
              </w:rPr>
              <w:t xml:space="preserve"> </w:t>
            </w:r>
            <w:r w:rsidRPr="00F36BBF">
              <w:rPr>
                <w:rFonts w:ascii="Times New Roman" w:eastAsia="Times New Roman" w:hAnsi="Times New Roman" w:cs="Times New Roman"/>
                <w:sz w:val="24"/>
                <w:szCs w:val="24"/>
              </w:rPr>
              <w:t>proi</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3"/>
                <w:sz w:val="24"/>
                <w:szCs w:val="24"/>
              </w:rPr>
              <w:t xml:space="preserve"> </w:t>
            </w:r>
            <w:r w:rsidR="00EA2685">
              <w:rPr>
                <w:rFonts w:ascii="Times New Roman" w:eastAsia="Times New Roman" w:hAnsi="Times New Roman" w:cs="Times New Roman"/>
                <w:spacing w:val="-1"/>
                <w:sz w:val="24"/>
                <w:szCs w:val="24"/>
              </w:rPr>
              <w:t>de act normativ</w:t>
            </w:r>
            <w:r w:rsidRPr="00F36BBF">
              <w:rPr>
                <w:rFonts w:ascii="Times New Roman" w:eastAsia="Times New Roman" w:hAnsi="Times New Roman" w:cs="Times New Roman"/>
                <w:spacing w:val="-4"/>
                <w:sz w:val="24"/>
                <w:szCs w:val="24"/>
              </w:rPr>
              <w:t xml:space="preserve"> </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ste</w:t>
            </w:r>
            <w:r w:rsidRPr="00F36BBF">
              <w:rPr>
                <w:rFonts w:ascii="Times New Roman" w:eastAsia="Times New Roman" w:hAnsi="Times New Roman" w:cs="Times New Roman"/>
                <w:spacing w:val="-5"/>
                <w:sz w:val="24"/>
                <w:szCs w:val="24"/>
              </w:rPr>
              <w:t xml:space="preserve"> </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labo</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4"/>
                <w:sz w:val="24"/>
                <w:szCs w:val="24"/>
              </w:rPr>
              <w:t xml:space="preserve"> </w:t>
            </w:r>
            <w:r w:rsidRPr="00F36BBF">
              <w:rPr>
                <w:rFonts w:ascii="Times New Roman" w:eastAsia="Times New Roman" w:hAnsi="Times New Roman" w:cs="Times New Roman"/>
                <w:sz w:val="24"/>
                <w:szCs w:val="24"/>
              </w:rPr>
              <w:t>în</w:t>
            </w:r>
            <w:r w:rsidR="00E938C6" w:rsidRPr="00F36BBF">
              <w:rPr>
                <w:rFonts w:ascii="Times New Roman" w:eastAsia="Times New Roman" w:hAnsi="Times New Roman" w:cs="Times New Roman"/>
                <w:spacing w:val="-4"/>
                <w:sz w:val="24"/>
                <w:szCs w:val="24"/>
              </w:rPr>
              <w:t xml:space="preserve"> temeiul </w:t>
            </w:r>
            <w:r w:rsidR="00E938C6" w:rsidRPr="00F36BBF">
              <w:rPr>
                <w:rFonts w:ascii="Times New Roman" w:hAnsi="Times New Roman" w:cs="Times New Roman"/>
                <w:sz w:val="24"/>
                <w:szCs w:val="24"/>
              </w:rPr>
              <w:t xml:space="preserve">art. </w:t>
            </w:r>
            <w:r w:rsidR="00CE5BD4">
              <w:rPr>
                <w:rFonts w:ascii="Times New Roman" w:hAnsi="Times New Roman" w:cs="Times New Roman"/>
                <w:sz w:val="24"/>
                <w:szCs w:val="24"/>
              </w:rPr>
              <w:t xml:space="preserve">32 și </w:t>
            </w:r>
            <w:r w:rsidR="00E938C6" w:rsidRPr="00F36BBF">
              <w:rPr>
                <w:rFonts w:ascii="Times New Roman" w:hAnsi="Times New Roman" w:cs="Times New Roman"/>
                <w:sz w:val="24"/>
                <w:szCs w:val="24"/>
              </w:rPr>
              <w:t>94 alin. (1) din Codul urbanismului și construcțiilor nr. 434/2023</w:t>
            </w:r>
            <w:r w:rsidRPr="00F36BBF">
              <w:rPr>
                <w:rFonts w:ascii="Times New Roman" w:eastAsia="Times New Roman" w:hAnsi="Times New Roman" w:cs="Times New Roman"/>
                <w:spacing w:val="-4"/>
                <w:sz w:val="24"/>
                <w:szCs w:val="24"/>
              </w:rPr>
              <w:t xml:space="preserve">. </w:t>
            </w:r>
          </w:p>
        </w:tc>
      </w:tr>
      <w:tr w:rsidR="0090612E" w:rsidRPr="00F36BBF" w:rsidTr="0090612E">
        <w:tc>
          <w:tcPr>
            <w:tcW w:w="9630" w:type="dxa"/>
          </w:tcPr>
          <w:p w:rsidR="0090612E" w:rsidRPr="00F36BBF" w:rsidRDefault="0090612E" w:rsidP="00F36BBF">
            <w:pPr>
              <w:ind w:firstLine="702"/>
              <w:jc w:val="both"/>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2.2.</w:t>
            </w:r>
            <w:r w:rsidRPr="00F36BBF">
              <w:rPr>
                <w:rFonts w:ascii="Times New Roman" w:eastAsia="Times New Roman" w:hAnsi="Times New Roman" w:cs="Times New Roman"/>
                <w:spacing w:val="26"/>
                <w:sz w:val="24"/>
                <w:szCs w:val="24"/>
              </w:rPr>
              <w:t xml:space="preserve"> </w:t>
            </w:r>
            <w:r w:rsidRPr="00F36BBF">
              <w:rPr>
                <w:rFonts w:ascii="Times New Roman" w:eastAsia="Times New Roman" w:hAnsi="Times New Roman" w:cs="Times New Roman"/>
                <w:sz w:val="24"/>
                <w:szCs w:val="24"/>
              </w:rPr>
              <w:t>D</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s</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r</w:t>
            </w:r>
            <w:r w:rsidRPr="00F36BBF">
              <w:rPr>
                <w:rFonts w:ascii="Times New Roman" w:eastAsia="Times New Roman" w:hAnsi="Times New Roman" w:cs="Times New Roman"/>
                <w:spacing w:val="2"/>
                <w:sz w:val="24"/>
                <w:szCs w:val="24"/>
              </w:rPr>
              <w:t>i</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rea</w:t>
            </w:r>
            <w:r w:rsidRPr="00F36BBF">
              <w:rPr>
                <w:rFonts w:ascii="Times New Roman" w:eastAsia="Times New Roman" w:hAnsi="Times New Roman" w:cs="Times New Roman"/>
                <w:spacing w:val="27"/>
                <w:sz w:val="24"/>
                <w:szCs w:val="24"/>
              </w:rPr>
              <w:t xml:space="preserve"> </w:t>
            </w:r>
            <w:r w:rsidRPr="00F36BBF">
              <w:rPr>
                <w:rFonts w:ascii="Times New Roman" w:eastAsia="Times New Roman" w:hAnsi="Times New Roman" w:cs="Times New Roman"/>
                <w:sz w:val="24"/>
                <w:szCs w:val="24"/>
              </w:rPr>
              <w:t>si</w:t>
            </w:r>
            <w:r w:rsidRPr="00F36BBF">
              <w:rPr>
                <w:rFonts w:ascii="Times New Roman" w:eastAsia="Times New Roman" w:hAnsi="Times New Roman" w:cs="Times New Roman"/>
                <w:spacing w:val="1"/>
                <w:sz w:val="24"/>
                <w:szCs w:val="24"/>
              </w:rPr>
              <w:t>t</w:t>
            </w:r>
            <w:r w:rsidRPr="00F36BBF">
              <w:rPr>
                <w:rFonts w:ascii="Times New Roman" w:eastAsia="Times New Roman" w:hAnsi="Times New Roman" w:cs="Times New Roman"/>
                <w:sz w:val="24"/>
                <w:szCs w:val="24"/>
              </w:rPr>
              <w:t>u</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ției</w:t>
            </w:r>
            <w:r w:rsidRPr="00F36BBF">
              <w:rPr>
                <w:rFonts w:ascii="Times New Roman" w:eastAsia="Times New Roman" w:hAnsi="Times New Roman" w:cs="Times New Roman"/>
                <w:spacing w:val="29"/>
                <w:sz w:val="24"/>
                <w:szCs w:val="24"/>
              </w:rPr>
              <w:t xml:space="preserve"> </w:t>
            </w:r>
            <w:r w:rsidRPr="00F36BBF">
              <w:rPr>
                <w:rFonts w:ascii="Times New Roman" w:eastAsia="Times New Roman" w:hAnsi="Times New Roman" w:cs="Times New Roman"/>
                <w:spacing w:val="-1"/>
                <w:sz w:val="24"/>
                <w:szCs w:val="24"/>
              </w:rPr>
              <w:t>ac</w:t>
            </w:r>
            <w:r w:rsidRPr="00F36BBF">
              <w:rPr>
                <w:rFonts w:ascii="Times New Roman" w:eastAsia="Times New Roman" w:hAnsi="Times New Roman" w:cs="Times New Roman"/>
                <w:sz w:val="24"/>
                <w:szCs w:val="24"/>
              </w:rPr>
              <w:t>tuale</w:t>
            </w:r>
            <w:r w:rsidRPr="00F36BBF">
              <w:rPr>
                <w:rFonts w:ascii="Times New Roman" w:eastAsia="Times New Roman" w:hAnsi="Times New Roman" w:cs="Times New Roman"/>
                <w:spacing w:val="25"/>
                <w:sz w:val="24"/>
                <w:szCs w:val="24"/>
              </w:rPr>
              <w:t xml:space="preserve"> </w:t>
            </w:r>
            <w:r w:rsidRPr="00F36BBF">
              <w:rPr>
                <w:rFonts w:ascii="Times New Roman" w:eastAsia="Times New Roman" w:hAnsi="Times New Roman" w:cs="Times New Roman"/>
                <w:spacing w:val="1"/>
                <w:sz w:val="24"/>
                <w:szCs w:val="24"/>
              </w:rPr>
              <w:t>ș</w:t>
            </w:r>
            <w:r w:rsidRPr="00F36BBF">
              <w:rPr>
                <w:rFonts w:ascii="Times New Roman" w:eastAsia="Times New Roman" w:hAnsi="Times New Roman" w:cs="Times New Roman"/>
                <w:sz w:val="24"/>
                <w:szCs w:val="24"/>
              </w:rPr>
              <w:t>i</w:t>
            </w:r>
            <w:r w:rsidRPr="00F36BBF">
              <w:rPr>
                <w:rFonts w:ascii="Times New Roman" w:eastAsia="Times New Roman" w:hAnsi="Times New Roman" w:cs="Times New Roman"/>
                <w:spacing w:val="27"/>
                <w:sz w:val="24"/>
                <w:szCs w:val="24"/>
              </w:rPr>
              <w:t xml:space="preserve"> </w:t>
            </w:r>
            <w:r w:rsidRPr="00F36BBF">
              <w:rPr>
                <w:rFonts w:ascii="Times New Roman" w:eastAsia="Times New Roman" w:hAnsi="Times New Roman" w:cs="Times New Roman"/>
                <w:sz w:val="24"/>
                <w:szCs w:val="24"/>
              </w:rPr>
              <w:t>a</w:t>
            </w:r>
            <w:r w:rsidRPr="00F36BBF">
              <w:rPr>
                <w:rFonts w:ascii="Times New Roman" w:eastAsia="Times New Roman" w:hAnsi="Times New Roman" w:cs="Times New Roman"/>
                <w:spacing w:val="28"/>
                <w:sz w:val="24"/>
                <w:szCs w:val="24"/>
              </w:rPr>
              <w:t xml:space="preserve"> </w:t>
            </w:r>
            <w:r w:rsidRPr="00F36BBF">
              <w:rPr>
                <w:rFonts w:ascii="Times New Roman" w:eastAsia="Times New Roman" w:hAnsi="Times New Roman" w:cs="Times New Roman"/>
                <w:sz w:val="24"/>
                <w:szCs w:val="24"/>
              </w:rPr>
              <w:t>probl</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melor</w:t>
            </w:r>
            <w:r w:rsidRPr="00F36BBF">
              <w:rPr>
                <w:rFonts w:ascii="Times New Roman" w:eastAsia="Times New Roman" w:hAnsi="Times New Roman" w:cs="Times New Roman"/>
                <w:spacing w:val="28"/>
                <w:sz w:val="24"/>
                <w:szCs w:val="24"/>
              </w:rPr>
              <w:t xml:space="preserve"> </w:t>
            </w:r>
            <w:r w:rsidRPr="00F36BBF">
              <w:rPr>
                <w:rFonts w:ascii="Times New Roman" w:eastAsia="Times New Roman" w:hAnsi="Times New Roman" w:cs="Times New Roman"/>
                <w:spacing w:val="-1"/>
                <w:sz w:val="24"/>
                <w:szCs w:val="24"/>
              </w:rPr>
              <w:t>ca</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z w:val="24"/>
                <w:szCs w:val="24"/>
              </w:rPr>
              <w:t>e</w:t>
            </w:r>
            <w:r w:rsidRPr="00F36BBF">
              <w:rPr>
                <w:rFonts w:ascii="Times New Roman" w:eastAsia="Times New Roman" w:hAnsi="Times New Roman" w:cs="Times New Roman"/>
                <w:spacing w:val="26"/>
                <w:sz w:val="24"/>
                <w:szCs w:val="24"/>
              </w:rPr>
              <w:t xml:space="preserve"> </w:t>
            </w:r>
            <w:r w:rsidRPr="00F36BBF">
              <w:rPr>
                <w:rFonts w:ascii="Times New Roman" w:eastAsia="Times New Roman" w:hAnsi="Times New Roman" w:cs="Times New Roman"/>
                <w:sz w:val="24"/>
                <w:szCs w:val="24"/>
              </w:rPr>
              <w:t>i</w:t>
            </w:r>
            <w:r w:rsidRPr="00F36BBF">
              <w:rPr>
                <w:rFonts w:ascii="Times New Roman" w:eastAsia="Times New Roman" w:hAnsi="Times New Roman" w:cs="Times New Roman"/>
                <w:spacing w:val="1"/>
                <w:sz w:val="24"/>
                <w:szCs w:val="24"/>
              </w:rPr>
              <w:t>m</w:t>
            </w:r>
            <w:r w:rsidRPr="00F36BBF">
              <w:rPr>
                <w:rFonts w:ascii="Times New Roman" w:eastAsia="Times New Roman" w:hAnsi="Times New Roman" w:cs="Times New Roman"/>
                <w:sz w:val="24"/>
                <w:szCs w:val="24"/>
              </w:rPr>
              <w:t>pun</w:t>
            </w:r>
            <w:r w:rsidRPr="00F36BBF">
              <w:rPr>
                <w:rFonts w:ascii="Times New Roman" w:eastAsia="Times New Roman" w:hAnsi="Times New Roman" w:cs="Times New Roman"/>
                <w:spacing w:val="27"/>
                <w:sz w:val="24"/>
                <w:szCs w:val="24"/>
              </w:rPr>
              <w:t xml:space="preserve"> </w:t>
            </w:r>
            <w:r w:rsidRPr="00F36BBF">
              <w:rPr>
                <w:rFonts w:ascii="Times New Roman" w:eastAsia="Times New Roman" w:hAnsi="Times New Roman" w:cs="Times New Roman"/>
                <w:sz w:val="24"/>
                <w:szCs w:val="24"/>
              </w:rPr>
              <w:t>in</w:t>
            </w:r>
            <w:r w:rsidRPr="00F36BBF">
              <w:rPr>
                <w:rFonts w:ascii="Times New Roman" w:eastAsia="Times New Roman" w:hAnsi="Times New Roman" w:cs="Times New Roman"/>
                <w:spacing w:val="1"/>
                <w:sz w:val="24"/>
                <w:szCs w:val="24"/>
              </w:rPr>
              <w:t>t</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rv</w:t>
            </w:r>
            <w:r w:rsidRPr="00F36BBF">
              <w:rPr>
                <w:rFonts w:ascii="Times New Roman" w:eastAsia="Times New Roman" w:hAnsi="Times New Roman" w:cs="Times New Roman"/>
                <w:spacing w:val="-2"/>
                <w:sz w:val="24"/>
                <w:szCs w:val="24"/>
              </w:rPr>
              <w:t>e</w:t>
            </w:r>
            <w:r w:rsidRPr="00F36BBF">
              <w:rPr>
                <w:rFonts w:ascii="Times New Roman" w:eastAsia="Times New Roman" w:hAnsi="Times New Roman" w:cs="Times New Roman"/>
                <w:sz w:val="24"/>
                <w:szCs w:val="24"/>
              </w:rPr>
              <w:t>nția,</w:t>
            </w:r>
            <w:r w:rsidRPr="00F36BBF">
              <w:rPr>
                <w:rFonts w:ascii="Times New Roman" w:eastAsia="Times New Roman" w:hAnsi="Times New Roman" w:cs="Times New Roman"/>
                <w:spacing w:val="28"/>
                <w:sz w:val="24"/>
                <w:szCs w:val="24"/>
              </w:rPr>
              <w:t xml:space="preserve"> </w:t>
            </w:r>
            <w:r w:rsidRPr="00F36BBF">
              <w:rPr>
                <w:rFonts w:ascii="Times New Roman" w:eastAsia="Times New Roman" w:hAnsi="Times New Roman" w:cs="Times New Roman"/>
                <w:sz w:val="24"/>
                <w:szCs w:val="24"/>
              </w:rPr>
              <w:t>inclusiv</w:t>
            </w:r>
            <w:r w:rsidRPr="00F36BBF">
              <w:rPr>
                <w:rFonts w:ascii="Times New Roman" w:eastAsia="Times New Roman" w:hAnsi="Times New Roman" w:cs="Times New Roman"/>
                <w:spacing w:val="27"/>
                <w:sz w:val="24"/>
                <w:szCs w:val="24"/>
              </w:rPr>
              <w:t xml:space="preserve"> </w:t>
            </w:r>
            <w:r w:rsidRPr="00F36BBF">
              <w:rPr>
                <w:rFonts w:ascii="Times New Roman" w:eastAsia="Times New Roman" w:hAnsi="Times New Roman" w:cs="Times New Roman"/>
                <w:sz w:val="24"/>
                <w:szCs w:val="24"/>
              </w:rPr>
              <w:t xml:space="preserve">a </w:t>
            </w:r>
            <w:r w:rsidRPr="00F36BBF">
              <w:rPr>
                <w:rFonts w:ascii="Times New Roman" w:eastAsia="Times New Roman" w:hAnsi="Times New Roman" w:cs="Times New Roman"/>
                <w:spacing w:val="-1"/>
                <w:sz w:val="24"/>
                <w:szCs w:val="24"/>
              </w:rPr>
              <w:t>ca</w:t>
            </w:r>
            <w:r w:rsidRPr="00F36BBF">
              <w:rPr>
                <w:rFonts w:ascii="Times New Roman" w:eastAsia="Times New Roman" w:hAnsi="Times New Roman" w:cs="Times New Roman"/>
                <w:sz w:val="24"/>
                <w:szCs w:val="24"/>
              </w:rPr>
              <w:t>drului norm</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v</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pl</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bil</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și a</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d</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fi</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ienț</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z w:val="24"/>
                <w:szCs w:val="24"/>
              </w:rPr>
              <w:t>o</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z w:val="24"/>
                <w:szCs w:val="24"/>
              </w:rPr>
              <w:t>/</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pacing w:val="-1"/>
                <w:sz w:val="24"/>
                <w:szCs w:val="24"/>
              </w:rPr>
              <w:t>ac</w:t>
            </w:r>
            <w:r w:rsidRPr="00F36BBF">
              <w:rPr>
                <w:rFonts w:ascii="Times New Roman" w:eastAsia="Times New Roman" w:hAnsi="Times New Roman" w:cs="Times New Roman"/>
                <w:spacing w:val="2"/>
                <w:sz w:val="24"/>
                <w:szCs w:val="24"/>
              </w:rPr>
              <w:t>u</w:t>
            </w:r>
            <w:r w:rsidRPr="00F36BBF">
              <w:rPr>
                <w:rFonts w:ascii="Times New Roman" w:eastAsia="Times New Roman" w:hAnsi="Times New Roman" w:cs="Times New Roman"/>
                <w:sz w:val="24"/>
                <w:szCs w:val="24"/>
              </w:rPr>
              <w:t>n</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z w:val="24"/>
                <w:szCs w:val="24"/>
              </w:rPr>
              <w:t>or</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norm</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ve</w:t>
            </w:r>
          </w:p>
        </w:tc>
      </w:tr>
      <w:tr w:rsidR="0090612E" w:rsidRPr="00F36BBF" w:rsidTr="0090612E">
        <w:tc>
          <w:tcPr>
            <w:tcW w:w="9630" w:type="dxa"/>
          </w:tcPr>
          <w:p w:rsidR="00FC55FB" w:rsidRPr="00F36BBF" w:rsidRDefault="00567A89" w:rsidP="00F36BBF">
            <w:pPr>
              <w:pStyle w:val="a3"/>
              <w:ind w:firstLine="702"/>
              <w:jc w:val="both"/>
            </w:pPr>
            <w:r w:rsidRPr="00F36BBF">
              <w:t xml:space="preserve">În prezent, nu există un cadru normativ specific care să reglementeze procedurile de consultare publică în procesul de elaborare și aprobare a documentației de </w:t>
            </w:r>
            <w:r w:rsidR="005343B8" w:rsidRPr="00F36BBF">
              <w:t>amenajare</w:t>
            </w:r>
            <w:r w:rsidR="00EA2685">
              <w:t xml:space="preserve"> a teritoriului</w:t>
            </w:r>
            <w:r w:rsidR="005343B8" w:rsidRPr="00F36BBF">
              <w:t xml:space="preserve"> și </w:t>
            </w:r>
            <w:r w:rsidRPr="00F36BBF">
              <w:t>urbanism. Lipsa unei reglementări dedicate</w:t>
            </w:r>
            <w:r w:rsidR="00EA2685">
              <w:t>,</w:t>
            </w:r>
            <w:r w:rsidRPr="00F36BBF">
              <w:t xml:space="preserve"> generează </w:t>
            </w:r>
            <w:r w:rsidR="00070FC1" w:rsidRPr="00F36BBF">
              <w:t>disfuncționalități semnificative</w:t>
            </w:r>
            <w:r w:rsidRPr="00F36BBF">
              <w:t xml:space="preserve"> în procesul de participare publi</w:t>
            </w:r>
            <w:r w:rsidR="00FC55FB" w:rsidRPr="00F36BBF">
              <w:t>că, afectând integritatea deciziilor urbanistice prin limitarea transparenței și reprezentativității populației.</w:t>
            </w:r>
          </w:p>
          <w:p w:rsidR="00567A89" w:rsidRPr="00F36BBF" w:rsidRDefault="00567A89" w:rsidP="00F36BBF">
            <w:pPr>
              <w:pStyle w:val="a3"/>
              <w:ind w:firstLine="702"/>
              <w:jc w:val="both"/>
            </w:pPr>
            <w:r w:rsidRPr="00F36BBF">
              <w:t>Anterior, acest domeniu era reglementat prin Hotărârea Guvernului nr. 951/1997 din 14.10.1997, abrogată prin Hotărârea Guvernului nr. 346 din 28.03.2016. În urma abrogării, nu a fost adoptat un nou regulament care să definească mecanisme etapizate de consultare publică.</w:t>
            </w:r>
          </w:p>
          <w:p w:rsidR="00567A89" w:rsidRPr="00F36BBF" w:rsidRDefault="00567A89" w:rsidP="00F36BBF">
            <w:pPr>
              <w:pStyle w:val="a3"/>
              <w:ind w:firstLine="702"/>
              <w:jc w:val="both"/>
            </w:pPr>
            <w:r w:rsidRPr="00F36BBF">
              <w:t xml:space="preserve">În lipsa unui cadru normativ dedicat, consultarea publică are loc </w:t>
            </w:r>
            <w:r w:rsidR="00EA2685">
              <w:t>la</w:t>
            </w:r>
            <w:r w:rsidRPr="00F36BBF">
              <w:t xml:space="preserve"> etapa de anteproiect a documentației </w:t>
            </w:r>
            <w:r w:rsidR="00EA2685">
              <w:t>de urbanism</w:t>
            </w:r>
            <w:r w:rsidRPr="00F36BBF">
              <w:t>, fără posibilitatea unei implicări timpurii și iterative a cetățenilor. Această practică limitează capacitatea publicului de a influența procesul decizional, ceea ce duce la participare redusă și nereprezentativă. Totodată, nu există mecanisme de verificare a apartenenței teritoriale a participanților, ceea ce afectează relevanța consultării. Se constată cazuri în care persoane implicate în elaborarea documentației își exprimă opinii favorabile în procesul consultativ, ceea ce compromite obiectivitatea acestuia.</w:t>
            </w:r>
            <w:r w:rsidR="00070FC1" w:rsidRPr="00F36BBF">
              <w:t xml:space="preserve"> Aceste deficiențe conduc la un proces superficial, alocarea ineficientă a resurselor publice și pierderea timpului personalului implicat.</w:t>
            </w:r>
          </w:p>
          <w:p w:rsidR="00567A89" w:rsidRPr="00F36BBF" w:rsidRDefault="00567A89" w:rsidP="00F36BBF">
            <w:pPr>
              <w:pStyle w:val="a3"/>
              <w:ind w:firstLine="702"/>
              <w:jc w:val="both"/>
            </w:pPr>
            <w:r w:rsidRPr="00F36BBF">
              <w:t xml:space="preserve">La nivel internațional, bunele practici evidențiază necesitatea unui cadru normativ care să prevadă consultări publice </w:t>
            </w:r>
            <w:r w:rsidR="00070FC1" w:rsidRPr="00F36BBF">
              <w:t>etapizate</w:t>
            </w:r>
            <w:r w:rsidRPr="00F36BBF">
              <w:t xml:space="preserve">, desfășurate încă din fazele inițiale ale procesului de planificare urbană. Raportul </w:t>
            </w:r>
            <w:r w:rsidR="005343B8" w:rsidRPr="00F36BBF">
              <w:t xml:space="preserve">Urban </w:t>
            </w:r>
            <w:proofErr w:type="spellStart"/>
            <w:r w:rsidR="005343B8" w:rsidRPr="00F36BBF">
              <w:t>Policy</w:t>
            </w:r>
            <w:proofErr w:type="spellEnd"/>
            <w:r w:rsidR="005343B8" w:rsidRPr="00F36BBF">
              <w:t xml:space="preserve"> </w:t>
            </w:r>
            <w:proofErr w:type="spellStart"/>
            <w:r w:rsidR="005343B8" w:rsidRPr="00F36BBF">
              <w:t>Making</w:t>
            </w:r>
            <w:proofErr w:type="spellEnd"/>
            <w:r w:rsidR="005343B8" w:rsidRPr="00F36BBF">
              <w:t xml:space="preserve"> (2019) </w:t>
            </w:r>
            <w:r w:rsidR="00EA2685">
              <w:t xml:space="preserve">elaborat </w:t>
            </w:r>
            <w:r w:rsidR="005343B8" w:rsidRPr="00F36BBF">
              <w:t xml:space="preserve">de </w:t>
            </w:r>
            <w:r w:rsidRPr="00F36BBF">
              <w:t xml:space="preserve">OECD subliniază că implementarea unor mecanisme de consultare publică integrate și continue permite alinierea mai eficientă a politicilor urbane cu interesele comunității, consolidând capitalul social și contribuind la dezvoltarea economică locală. De asemenea, analiza World Bank (2017) confirmă că implicarea cetățenilor în toate etapele procesului urbanistic îmbunătățește transparența și reduce conflictele de interese, aspecte fundamentale pentru o dezvoltare urbană sustenabilă. </w:t>
            </w:r>
            <w:r w:rsidRPr="00F36BBF">
              <w:rPr>
                <w:rStyle w:val="a5"/>
              </w:rPr>
              <w:t>New Urban Agenda</w:t>
            </w:r>
            <w:r w:rsidRPr="00F36BBF">
              <w:t xml:space="preserve"> (ONU, 2016) evidențiază importanța participării timpurii și constante a cetățenilor în luarea deciziilor privind dezvoltarea urbană, considerând această practică esențială pentru un urbanism echitabil și durabil.</w:t>
            </w:r>
          </w:p>
          <w:p w:rsidR="00567A89" w:rsidRPr="00F36BBF" w:rsidRDefault="00567A89" w:rsidP="00F36BBF">
            <w:pPr>
              <w:pStyle w:val="a3"/>
              <w:numPr>
                <w:ilvl w:val="0"/>
                <w:numId w:val="1"/>
              </w:numPr>
              <w:spacing w:before="0" w:beforeAutospacing="0" w:after="0" w:afterAutospacing="0"/>
              <w:ind w:left="0" w:firstLine="72"/>
              <w:rPr>
                <w:sz w:val="20"/>
                <w:szCs w:val="20"/>
              </w:rPr>
            </w:pPr>
            <w:r w:rsidRPr="00F36BBF">
              <w:rPr>
                <w:sz w:val="20"/>
                <w:szCs w:val="20"/>
              </w:rPr>
              <w:t>ONU. (2016). New Urban Agenda. Habitat III, Quito.</w:t>
            </w:r>
          </w:p>
          <w:p w:rsidR="00567A89" w:rsidRPr="00F36BBF" w:rsidRDefault="00567A89" w:rsidP="00F36BBF">
            <w:pPr>
              <w:pStyle w:val="a3"/>
              <w:numPr>
                <w:ilvl w:val="0"/>
                <w:numId w:val="1"/>
              </w:numPr>
              <w:spacing w:before="0" w:beforeAutospacing="0" w:after="0" w:afterAutospacing="0"/>
              <w:ind w:left="0" w:firstLine="72"/>
              <w:rPr>
                <w:sz w:val="20"/>
                <w:szCs w:val="20"/>
              </w:rPr>
            </w:pPr>
            <w:r w:rsidRPr="00F36BBF">
              <w:rPr>
                <w:sz w:val="20"/>
                <w:szCs w:val="20"/>
              </w:rPr>
              <w:t xml:space="preserve">OECD. (2019). Urban </w:t>
            </w:r>
            <w:proofErr w:type="spellStart"/>
            <w:r w:rsidRPr="00F36BBF">
              <w:rPr>
                <w:sz w:val="20"/>
                <w:szCs w:val="20"/>
              </w:rPr>
              <w:t>Policy</w:t>
            </w:r>
            <w:proofErr w:type="spellEnd"/>
            <w:r w:rsidRPr="00F36BBF">
              <w:rPr>
                <w:sz w:val="20"/>
                <w:szCs w:val="20"/>
              </w:rPr>
              <w:t xml:space="preserve"> </w:t>
            </w:r>
            <w:proofErr w:type="spellStart"/>
            <w:r w:rsidRPr="00F36BBF">
              <w:rPr>
                <w:sz w:val="20"/>
                <w:szCs w:val="20"/>
              </w:rPr>
              <w:t>Making</w:t>
            </w:r>
            <w:proofErr w:type="spellEnd"/>
            <w:r w:rsidRPr="00F36BBF">
              <w:rPr>
                <w:sz w:val="20"/>
                <w:szCs w:val="20"/>
              </w:rPr>
              <w:t xml:space="preserve">: Best </w:t>
            </w:r>
            <w:proofErr w:type="spellStart"/>
            <w:r w:rsidRPr="00F36BBF">
              <w:rPr>
                <w:sz w:val="20"/>
                <w:szCs w:val="20"/>
              </w:rPr>
              <w:t>Practices</w:t>
            </w:r>
            <w:proofErr w:type="spellEnd"/>
            <w:r w:rsidRPr="00F36BBF">
              <w:rPr>
                <w:sz w:val="20"/>
                <w:szCs w:val="20"/>
              </w:rPr>
              <w:t xml:space="preserve"> in Citizen </w:t>
            </w:r>
            <w:proofErr w:type="spellStart"/>
            <w:r w:rsidRPr="00F36BBF">
              <w:rPr>
                <w:sz w:val="20"/>
                <w:szCs w:val="20"/>
              </w:rPr>
              <w:t>Participation</w:t>
            </w:r>
            <w:proofErr w:type="spellEnd"/>
            <w:r w:rsidRPr="00F36BBF">
              <w:rPr>
                <w:sz w:val="20"/>
                <w:szCs w:val="20"/>
              </w:rPr>
              <w:t xml:space="preserve">. Paris: OECD </w:t>
            </w:r>
            <w:proofErr w:type="spellStart"/>
            <w:r w:rsidRPr="00F36BBF">
              <w:rPr>
                <w:sz w:val="20"/>
                <w:szCs w:val="20"/>
              </w:rPr>
              <w:t>Publishing</w:t>
            </w:r>
            <w:proofErr w:type="spellEnd"/>
            <w:r w:rsidRPr="00F36BBF">
              <w:rPr>
                <w:sz w:val="20"/>
                <w:szCs w:val="20"/>
              </w:rPr>
              <w:t>.</w:t>
            </w:r>
          </w:p>
          <w:p w:rsidR="0090612E" w:rsidRPr="00F36BBF" w:rsidRDefault="00567A89" w:rsidP="00F36BBF">
            <w:pPr>
              <w:pStyle w:val="a3"/>
              <w:numPr>
                <w:ilvl w:val="0"/>
                <w:numId w:val="1"/>
              </w:numPr>
              <w:spacing w:before="0" w:beforeAutospacing="0" w:after="0" w:afterAutospacing="0"/>
              <w:ind w:left="0" w:firstLine="72"/>
            </w:pPr>
            <w:r w:rsidRPr="00F36BBF">
              <w:rPr>
                <w:sz w:val="20"/>
                <w:szCs w:val="20"/>
              </w:rPr>
              <w:t xml:space="preserve">World Bank. (2017). Urban </w:t>
            </w:r>
            <w:proofErr w:type="spellStart"/>
            <w:r w:rsidRPr="00F36BBF">
              <w:rPr>
                <w:sz w:val="20"/>
                <w:szCs w:val="20"/>
              </w:rPr>
              <w:t>Planning</w:t>
            </w:r>
            <w:proofErr w:type="spellEnd"/>
            <w:r w:rsidRPr="00F36BBF">
              <w:rPr>
                <w:sz w:val="20"/>
                <w:szCs w:val="20"/>
              </w:rPr>
              <w:t xml:space="preserve"> </w:t>
            </w:r>
            <w:proofErr w:type="spellStart"/>
            <w:r w:rsidRPr="00F36BBF">
              <w:rPr>
                <w:sz w:val="20"/>
                <w:szCs w:val="20"/>
              </w:rPr>
              <w:t>and</w:t>
            </w:r>
            <w:proofErr w:type="spellEnd"/>
            <w:r w:rsidRPr="00F36BBF">
              <w:rPr>
                <w:sz w:val="20"/>
                <w:szCs w:val="20"/>
              </w:rPr>
              <w:t xml:space="preserve"> Citizen </w:t>
            </w:r>
            <w:proofErr w:type="spellStart"/>
            <w:r w:rsidRPr="00F36BBF">
              <w:rPr>
                <w:sz w:val="20"/>
                <w:szCs w:val="20"/>
              </w:rPr>
              <w:t>Engagement</w:t>
            </w:r>
            <w:proofErr w:type="spellEnd"/>
            <w:r w:rsidRPr="00F36BBF">
              <w:rPr>
                <w:sz w:val="20"/>
                <w:szCs w:val="20"/>
              </w:rPr>
              <w:t xml:space="preserve">: International </w:t>
            </w:r>
            <w:proofErr w:type="spellStart"/>
            <w:r w:rsidRPr="00F36BBF">
              <w:rPr>
                <w:sz w:val="20"/>
                <w:szCs w:val="20"/>
              </w:rPr>
              <w:t>Practices</w:t>
            </w:r>
            <w:proofErr w:type="spellEnd"/>
            <w:r w:rsidRPr="00F36BBF">
              <w:rPr>
                <w:sz w:val="20"/>
                <w:szCs w:val="20"/>
              </w:rPr>
              <w:t xml:space="preserve"> </w:t>
            </w:r>
            <w:proofErr w:type="spellStart"/>
            <w:r w:rsidRPr="00F36BBF">
              <w:rPr>
                <w:sz w:val="20"/>
                <w:szCs w:val="20"/>
              </w:rPr>
              <w:t>and</w:t>
            </w:r>
            <w:proofErr w:type="spellEnd"/>
            <w:r w:rsidRPr="00F36BBF">
              <w:rPr>
                <w:sz w:val="20"/>
                <w:szCs w:val="20"/>
              </w:rPr>
              <w:t xml:space="preserve"> </w:t>
            </w:r>
            <w:proofErr w:type="spellStart"/>
            <w:r w:rsidRPr="00F36BBF">
              <w:rPr>
                <w:sz w:val="20"/>
                <w:szCs w:val="20"/>
              </w:rPr>
              <w:t>Lessons</w:t>
            </w:r>
            <w:proofErr w:type="spellEnd"/>
            <w:r w:rsidRPr="00F36BBF">
              <w:rPr>
                <w:sz w:val="20"/>
                <w:szCs w:val="20"/>
              </w:rPr>
              <w:t xml:space="preserve"> </w:t>
            </w:r>
            <w:proofErr w:type="spellStart"/>
            <w:r w:rsidRPr="00F36BBF">
              <w:rPr>
                <w:sz w:val="20"/>
                <w:szCs w:val="20"/>
              </w:rPr>
              <w:t>Learned</w:t>
            </w:r>
            <w:proofErr w:type="spellEnd"/>
            <w:r w:rsidRPr="00F36BBF">
              <w:rPr>
                <w:sz w:val="20"/>
                <w:szCs w:val="20"/>
              </w:rPr>
              <w:t>. Washington, DC: World Bank Group.</w:t>
            </w:r>
          </w:p>
        </w:tc>
      </w:tr>
      <w:tr w:rsidR="0090612E" w:rsidRPr="00F36BBF" w:rsidTr="0090612E">
        <w:tc>
          <w:tcPr>
            <w:tcW w:w="9630" w:type="dxa"/>
          </w:tcPr>
          <w:p w:rsidR="0090612E" w:rsidRPr="00F36BBF" w:rsidRDefault="00D67C8B" w:rsidP="00F36BBF">
            <w:pPr>
              <w:pStyle w:val="a3"/>
              <w:ind w:firstLine="702"/>
            </w:pPr>
            <w:r w:rsidRPr="00F36BBF">
              <w:rPr>
                <w:b/>
                <w:bCs/>
              </w:rPr>
              <w:lastRenderedPageBreak/>
              <w:t>3. O</w:t>
            </w:r>
            <w:r w:rsidRPr="00F36BBF">
              <w:rPr>
                <w:b/>
                <w:bCs/>
                <w:spacing w:val="1"/>
              </w:rPr>
              <w:t>b</w:t>
            </w:r>
            <w:r w:rsidRPr="00F36BBF">
              <w:rPr>
                <w:b/>
                <w:bCs/>
              </w:rPr>
              <w:t>ie</w:t>
            </w:r>
            <w:r w:rsidRPr="00F36BBF">
              <w:rPr>
                <w:b/>
                <w:bCs/>
                <w:spacing w:val="-1"/>
              </w:rPr>
              <w:t>c</w:t>
            </w:r>
            <w:r w:rsidRPr="00F36BBF">
              <w:rPr>
                <w:b/>
                <w:bCs/>
              </w:rPr>
              <w:t>tiv</w:t>
            </w:r>
            <w:r w:rsidRPr="00F36BBF">
              <w:rPr>
                <w:b/>
                <w:bCs/>
                <w:spacing w:val="-1"/>
              </w:rPr>
              <w:t>e</w:t>
            </w:r>
            <w:r w:rsidRPr="00F36BBF">
              <w:rPr>
                <w:b/>
                <w:bCs/>
              </w:rPr>
              <w:t xml:space="preserve">le </w:t>
            </w:r>
            <w:r w:rsidRPr="00F36BBF">
              <w:rPr>
                <w:b/>
                <w:bCs/>
                <w:spacing w:val="1"/>
              </w:rPr>
              <w:t>u</w:t>
            </w:r>
            <w:r w:rsidRPr="00F36BBF">
              <w:rPr>
                <w:b/>
                <w:bCs/>
                <w:spacing w:val="-1"/>
              </w:rPr>
              <w:t>r</w:t>
            </w:r>
            <w:r w:rsidRPr="00F36BBF">
              <w:rPr>
                <w:b/>
                <w:bCs/>
                <w:spacing w:val="1"/>
              </w:rPr>
              <w:t>m</w:t>
            </w:r>
            <w:r w:rsidRPr="00F36BBF">
              <w:rPr>
                <w:b/>
                <w:bCs/>
              </w:rPr>
              <w:t>ă</w:t>
            </w:r>
            <w:r w:rsidRPr="00F36BBF">
              <w:rPr>
                <w:b/>
                <w:bCs/>
                <w:spacing w:val="-1"/>
              </w:rPr>
              <w:t>r</w:t>
            </w:r>
            <w:r w:rsidRPr="00F36BBF">
              <w:rPr>
                <w:b/>
                <w:bCs/>
              </w:rPr>
              <w:t>ite</w:t>
            </w:r>
            <w:r w:rsidRPr="00F36BBF">
              <w:rPr>
                <w:b/>
                <w:bCs/>
                <w:spacing w:val="2"/>
              </w:rPr>
              <w:t xml:space="preserve"> </w:t>
            </w:r>
            <w:r w:rsidRPr="00F36BBF">
              <w:rPr>
                <w:b/>
                <w:bCs/>
              </w:rPr>
              <w:t>și sol</w:t>
            </w:r>
            <w:r w:rsidRPr="00F36BBF">
              <w:rPr>
                <w:b/>
                <w:bCs/>
                <w:spacing w:val="2"/>
              </w:rPr>
              <w:t>u</w:t>
            </w:r>
            <w:r w:rsidRPr="00F36BBF">
              <w:rPr>
                <w:b/>
                <w:bCs/>
                <w:spacing w:val="-1"/>
              </w:rPr>
              <w:t>ț</w:t>
            </w:r>
            <w:r w:rsidRPr="00F36BBF">
              <w:rPr>
                <w:b/>
                <w:bCs/>
              </w:rPr>
              <w:t xml:space="preserve">iile </w:t>
            </w:r>
            <w:r w:rsidRPr="00F36BBF">
              <w:rPr>
                <w:b/>
                <w:bCs/>
                <w:spacing w:val="1"/>
              </w:rPr>
              <w:t>p</w:t>
            </w:r>
            <w:r w:rsidRPr="00F36BBF">
              <w:rPr>
                <w:b/>
                <w:bCs/>
                <w:spacing w:val="-1"/>
              </w:rPr>
              <w:t>r</w:t>
            </w:r>
            <w:r w:rsidRPr="00F36BBF">
              <w:rPr>
                <w:b/>
                <w:bCs/>
              </w:rPr>
              <w:t>o</w:t>
            </w:r>
            <w:r w:rsidRPr="00F36BBF">
              <w:rPr>
                <w:b/>
                <w:bCs/>
                <w:spacing w:val="-1"/>
              </w:rPr>
              <w:t>p</w:t>
            </w:r>
            <w:r w:rsidRPr="00F36BBF">
              <w:rPr>
                <w:b/>
                <w:bCs/>
                <w:spacing w:val="1"/>
              </w:rPr>
              <w:t>u</w:t>
            </w:r>
            <w:r w:rsidRPr="00F36BBF">
              <w:rPr>
                <w:b/>
                <w:bCs/>
              </w:rPr>
              <w:t>se</w:t>
            </w:r>
          </w:p>
        </w:tc>
      </w:tr>
      <w:tr w:rsidR="0090612E" w:rsidRPr="00F36BBF" w:rsidTr="0090612E">
        <w:tc>
          <w:tcPr>
            <w:tcW w:w="9630" w:type="dxa"/>
          </w:tcPr>
          <w:p w:rsidR="0090612E" w:rsidRPr="00F36BBF" w:rsidRDefault="00070FC1" w:rsidP="00F36BBF">
            <w:pPr>
              <w:ind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3.1. </w:t>
            </w:r>
            <w:r w:rsidRPr="00F36BBF">
              <w:rPr>
                <w:rFonts w:ascii="Times New Roman" w:eastAsia="Times New Roman" w:hAnsi="Times New Roman" w:cs="Times New Roman"/>
                <w:spacing w:val="1"/>
                <w:sz w:val="24"/>
                <w:szCs w:val="24"/>
              </w:rPr>
              <w:t>P</w:t>
            </w:r>
            <w:r w:rsidRPr="00F36BBF">
              <w:rPr>
                <w:rFonts w:ascii="Times New Roman" w:eastAsia="Times New Roman" w:hAnsi="Times New Roman" w:cs="Times New Roman"/>
                <w:sz w:val="24"/>
                <w:szCs w:val="24"/>
              </w:rPr>
              <w:t>rin</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ipal</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le p</w:t>
            </w:r>
            <w:r w:rsidRPr="00F36BBF">
              <w:rPr>
                <w:rFonts w:ascii="Times New Roman" w:eastAsia="Times New Roman" w:hAnsi="Times New Roman" w:cs="Times New Roman"/>
                <w:spacing w:val="-1"/>
                <w:sz w:val="24"/>
                <w:szCs w:val="24"/>
              </w:rPr>
              <w:t>re</w:t>
            </w:r>
            <w:r w:rsidRPr="00F36BBF">
              <w:rPr>
                <w:rFonts w:ascii="Times New Roman" w:eastAsia="Times New Roman" w:hAnsi="Times New Roman" w:cs="Times New Roman"/>
                <w:spacing w:val="2"/>
                <w:sz w:val="24"/>
                <w:szCs w:val="24"/>
              </w:rPr>
              <w:t>v</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d</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 xml:space="preserve">ri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le p</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z w:val="24"/>
                <w:szCs w:val="24"/>
              </w:rPr>
              <w:t>oi</w:t>
            </w:r>
            <w:r w:rsidRPr="00F36BBF">
              <w:rPr>
                <w:rFonts w:ascii="Times New Roman" w:eastAsia="Times New Roman" w:hAnsi="Times New Roman" w:cs="Times New Roman"/>
                <w:spacing w:val="2"/>
                <w:sz w:val="24"/>
                <w:szCs w:val="24"/>
              </w:rPr>
              <w:t>e</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tu</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z w:val="24"/>
                <w:szCs w:val="24"/>
              </w:rPr>
              <w:t>ui și</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videnție</w:t>
            </w:r>
            <w:r w:rsidRPr="00F36BBF">
              <w:rPr>
                <w:rFonts w:ascii="Times New Roman" w:eastAsia="Times New Roman" w:hAnsi="Times New Roman" w:cs="Times New Roman"/>
                <w:spacing w:val="-1"/>
                <w:sz w:val="24"/>
                <w:szCs w:val="24"/>
              </w:rPr>
              <w:t>re</w:t>
            </w:r>
            <w:r w:rsidRPr="00F36BBF">
              <w:rPr>
                <w:rFonts w:ascii="Times New Roman" w:eastAsia="Times New Roman" w:hAnsi="Times New Roman" w:cs="Times New Roman"/>
                <w:sz w:val="24"/>
                <w:szCs w:val="24"/>
              </w:rPr>
              <w:t>a</w:t>
            </w:r>
            <w:r w:rsidRPr="00F36BBF">
              <w:rPr>
                <w:rFonts w:ascii="Times New Roman" w:eastAsia="Times New Roman" w:hAnsi="Times New Roman" w:cs="Times New Roman"/>
                <w:spacing w:val="-1"/>
                <w:sz w:val="24"/>
                <w:szCs w:val="24"/>
              </w:rPr>
              <w:t xml:space="preserve"> e</w:t>
            </w:r>
            <w:r w:rsidRPr="00F36BBF">
              <w:rPr>
                <w:rFonts w:ascii="Times New Roman" w:eastAsia="Times New Roman" w:hAnsi="Times New Roman" w:cs="Times New Roman"/>
                <w:spacing w:val="3"/>
                <w:sz w:val="24"/>
                <w:szCs w:val="24"/>
              </w:rPr>
              <w:t>l</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ment</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lor noi</w:t>
            </w:r>
          </w:p>
        </w:tc>
      </w:tr>
      <w:tr w:rsidR="0090612E" w:rsidRPr="00F36BBF" w:rsidTr="0090612E">
        <w:tc>
          <w:tcPr>
            <w:tcW w:w="9630" w:type="dxa"/>
          </w:tcPr>
          <w:p w:rsidR="00775901" w:rsidRPr="00775901" w:rsidRDefault="00775901" w:rsidP="00F36BBF">
            <w:pPr>
              <w:widowControl/>
              <w:spacing w:before="100" w:beforeAutospacing="1" w:after="100" w:afterAutospacing="1"/>
              <w:ind w:firstLine="702"/>
              <w:jc w:val="both"/>
              <w:rPr>
                <w:rFonts w:ascii="Times New Roman" w:eastAsia="Times New Roman" w:hAnsi="Times New Roman" w:cs="Times New Roman"/>
                <w:sz w:val="24"/>
                <w:szCs w:val="24"/>
              </w:rPr>
            </w:pPr>
            <w:r w:rsidRPr="00775901">
              <w:rPr>
                <w:rFonts w:ascii="Times New Roman" w:eastAsia="Times New Roman" w:hAnsi="Times New Roman" w:cs="Times New Roman"/>
                <w:sz w:val="24"/>
                <w:szCs w:val="24"/>
              </w:rPr>
              <w:t xml:space="preserve">Proiectul de </w:t>
            </w:r>
            <w:r w:rsidR="00210F90">
              <w:rPr>
                <w:rFonts w:ascii="Times New Roman" w:eastAsia="Times New Roman" w:hAnsi="Times New Roman" w:cs="Times New Roman"/>
                <w:sz w:val="24"/>
                <w:szCs w:val="24"/>
              </w:rPr>
              <w:t>R</w:t>
            </w:r>
            <w:r w:rsidRPr="00775901">
              <w:rPr>
                <w:rFonts w:ascii="Times New Roman" w:eastAsia="Times New Roman" w:hAnsi="Times New Roman" w:cs="Times New Roman"/>
                <w:sz w:val="24"/>
                <w:szCs w:val="24"/>
              </w:rPr>
              <w:t>egulament prevede c</w:t>
            </w:r>
            <w:r w:rsidR="00EA2685">
              <w:rPr>
                <w:rFonts w:ascii="Times New Roman" w:eastAsia="Times New Roman" w:hAnsi="Times New Roman" w:cs="Times New Roman"/>
                <w:sz w:val="24"/>
                <w:szCs w:val="24"/>
              </w:rPr>
              <w:t>ă</w:t>
            </w:r>
            <w:r w:rsidRPr="00775901">
              <w:rPr>
                <w:rFonts w:ascii="Times New Roman" w:eastAsia="Times New Roman" w:hAnsi="Times New Roman" w:cs="Times New Roman"/>
                <w:sz w:val="24"/>
                <w:szCs w:val="24"/>
              </w:rPr>
              <w:t>, în procesul de elaborare și aprobare a documentației de amenajare a teritoriului și urbanism, consultarea populației să fie obligatorie și integrată în etapele</w:t>
            </w:r>
            <w:r w:rsidR="00505294">
              <w:rPr>
                <w:rFonts w:ascii="Times New Roman" w:eastAsia="Times New Roman" w:hAnsi="Times New Roman" w:cs="Times New Roman"/>
                <w:sz w:val="24"/>
                <w:szCs w:val="24"/>
              </w:rPr>
              <w:t xml:space="preserve"> de elaborare a documentației</w:t>
            </w:r>
            <w:r w:rsidR="00724D41">
              <w:rPr>
                <w:rFonts w:ascii="Times New Roman" w:eastAsia="Times New Roman" w:hAnsi="Times New Roman" w:cs="Times New Roman"/>
                <w:sz w:val="24"/>
                <w:szCs w:val="24"/>
              </w:rPr>
              <w:t xml:space="preserve"> vizate</w:t>
            </w:r>
            <w:r w:rsidRPr="00775901">
              <w:rPr>
                <w:rFonts w:ascii="Times New Roman" w:eastAsia="Times New Roman" w:hAnsi="Times New Roman" w:cs="Times New Roman"/>
                <w:sz w:val="24"/>
                <w:szCs w:val="24"/>
              </w:rPr>
              <w:t>. Astfel, procesul consultativ începe cu inițierea temei-program, continuând cu desfășurarea consultărilor în cadrul studiilor de sociologie urbană, care se organizează în cel puțin două etape: prima etapă, dedicată colectării datelor inițiale, și a doua etapă, care urmărește verificarea gradului de conformitate a soluțiilor propuse cu preocupările exprimate de populație. Consultările ce se desfășoară în cadrul evaluării strategice de mediu pot fi, de asemenea, integrate în etapele ulterioare ale studiilor sociologice.</w:t>
            </w:r>
          </w:p>
          <w:p w:rsidR="00775901" w:rsidRPr="00775901" w:rsidRDefault="00775901" w:rsidP="00F36BBF">
            <w:pPr>
              <w:widowControl/>
              <w:spacing w:before="100" w:beforeAutospacing="1" w:after="100" w:afterAutospacing="1"/>
              <w:ind w:firstLine="702"/>
              <w:jc w:val="both"/>
              <w:rPr>
                <w:rFonts w:ascii="Times New Roman" w:eastAsia="Times New Roman" w:hAnsi="Times New Roman" w:cs="Times New Roman"/>
                <w:sz w:val="24"/>
                <w:szCs w:val="24"/>
              </w:rPr>
            </w:pPr>
            <w:r w:rsidRPr="00775901">
              <w:rPr>
                <w:rFonts w:ascii="Times New Roman" w:eastAsia="Times New Roman" w:hAnsi="Times New Roman" w:cs="Times New Roman"/>
                <w:sz w:val="24"/>
                <w:szCs w:val="24"/>
              </w:rPr>
              <w:t xml:space="preserve">Procesul consultativ se realizează prin organizarea de ședințe publice desfășurate atât în format fizic, cât și online, asigurându-se astfel înregistrarea și arhivarea integrală a acestora. Notificarea populației se efectuează cu cel puțin </w:t>
            </w:r>
            <w:r w:rsidR="00D66C58">
              <w:rPr>
                <w:rFonts w:ascii="Times New Roman" w:eastAsia="Times New Roman" w:hAnsi="Times New Roman" w:cs="Times New Roman"/>
                <w:sz w:val="24"/>
                <w:szCs w:val="24"/>
              </w:rPr>
              <w:t>15</w:t>
            </w:r>
            <w:r w:rsidRPr="00775901">
              <w:rPr>
                <w:rFonts w:ascii="Times New Roman" w:eastAsia="Times New Roman" w:hAnsi="Times New Roman" w:cs="Times New Roman"/>
                <w:sz w:val="24"/>
                <w:szCs w:val="24"/>
              </w:rPr>
              <w:t xml:space="preserve"> de zile înainte, prin mijloace de comunicare multiple, pentru a asigura o participare largă și reprezentativă. Pe lângă ședințele publice, sunt utilizate și alte metode de colectare a opiniilor – precum chestionare, interviuri, focus grupuri, sondaje și ateliere de lucru – astfel încât să se obțină date fiabile, cu verificarea sursei informațiilor.</w:t>
            </w:r>
          </w:p>
          <w:p w:rsidR="00505294" w:rsidRDefault="00775901" w:rsidP="00F36BBF">
            <w:pPr>
              <w:widowControl/>
              <w:spacing w:before="100" w:beforeAutospacing="1" w:after="100" w:afterAutospacing="1"/>
              <w:ind w:firstLine="702"/>
              <w:jc w:val="both"/>
              <w:rPr>
                <w:rFonts w:ascii="Times New Roman" w:eastAsia="Times New Roman" w:hAnsi="Times New Roman" w:cs="Times New Roman"/>
                <w:sz w:val="24"/>
                <w:szCs w:val="24"/>
              </w:rPr>
            </w:pPr>
            <w:r w:rsidRPr="00775901">
              <w:rPr>
                <w:rFonts w:ascii="Times New Roman" w:eastAsia="Times New Roman" w:hAnsi="Times New Roman" w:cs="Times New Roman"/>
                <w:sz w:val="24"/>
                <w:szCs w:val="24"/>
              </w:rPr>
              <w:t xml:space="preserve">Organizarea și documentarea întregului proces sunt coordonate de Colectivul de Ancheta Publică, care are responsabilitatea de a supraveghea desfășurarea consultărilor și de a înregistra informațiile colectate. </w:t>
            </w:r>
          </w:p>
          <w:p w:rsidR="00505294" w:rsidRPr="00505294" w:rsidRDefault="00775901" w:rsidP="00505294">
            <w:pPr>
              <w:widowControl/>
              <w:spacing w:before="100" w:beforeAutospacing="1" w:after="100" w:afterAutospacing="1"/>
              <w:ind w:firstLine="702"/>
              <w:jc w:val="both"/>
              <w:rPr>
                <w:rFonts w:ascii="Times New Roman" w:eastAsia="Times New Roman" w:hAnsi="Times New Roman" w:cs="Times New Roman"/>
                <w:sz w:val="24"/>
                <w:szCs w:val="24"/>
              </w:rPr>
            </w:pPr>
            <w:r w:rsidRPr="00775901">
              <w:rPr>
                <w:rFonts w:ascii="Times New Roman" w:eastAsia="Times New Roman" w:hAnsi="Times New Roman" w:cs="Times New Roman"/>
                <w:sz w:val="24"/>
                <w:szCs w:val="24"/>
              </w:rPr>
              <w:t>Proiectul prevede, de asemenea, atingerea unei cote minime de participare în studiile sociologice, calculată conform Tabelului 1</w:t>
            </w:r>
            <w:r w:rsidR="00EA2685">
              <w:rPr>
                <w:rFonts w:ascii="Times New Roman" w:eastAsia="Times New Roman" w:hAnsi="Times New Roman" w:cs="Times New Roman"/>
                <w:sz w:val="24"/>
                <w:szCs w:val="24"/>
              </w:rPr>
              <w:t xml:space="preserve"> din proiectul Regulamentului</w:t>
            </w:r>
            <w:r w:rsidRPr="00775901">
              <w:rPr>
                <w:rFonts w:ascii="Times New Roman" w:eastAsia="Times New Roman" w:hAnsi="Times New Roman" w:cs="Times New Roman"/>
                <w:sz w:val="24"/>
                <w:szCs w:val="24"/>
              </w:rPr>
              <w:t>, incluzând exclusiv persoanele cu reședința în zona vizată, pentru a asigura reprezentativitatea datelor obținute.</w:t>
            </w:r>
            <w:r w:rsidR="00505294">
              <w:rPr>
                <w:rFonts w:ascii="Times New Roman" w:eastAsia="Times New Roman" w:hAnsi="Times New Roman" w:cs="Times New Roman"/>
                <w:sz w:val="24"/>
                <w:szCs w:val="24"/>
              </w:rPr>
              <w:t xml:space="preserve"> </w:t>
            </w:r>
            <w:r w:rsidR="00505294" w:rsidRPr="00505294">
              <w:rPr>
                <w:rFonts w:ascii="Times New Roman" w:eastAsia="Times New Roman" w:hAnsi="Times New Roman" w:cs="Times New Roman"/>
                <w:sz w:val="24"/>
                <w:szCs w:val="24"/>
              </w:rPr>
              <w:t xml:space="preserve">Aceste procente reprezintă praguri minime de participare calculate pe baza formulei lui </w:t>
            </w:r>
            <w:proofErr w:type="spellStart"/>
            <w:r w:rsidR="00505294" w:rsidRPr="00505294">
              <w:rPr>
                <w:rFonts w:ascii="Times New Roman" w:eastAsia="Times New Roman" w:hAnsi="Times New Roman" w:cs="Times New Roman"/>
                <w:sz w:val="24"/>
                <w:szCs w:val="24"/>
              </w:rPr>
              <w:t>Cochran</w:t>
            </w:r>
            <w:proofErr w:type="spellEnd"/>
            <w:r w:rsidR="00505294" w:rsidRPr="00505294">
              <w:rPr>
                <w:rFonts w:ascii="Times New Roman" w:eastAsia="Times New Roman" w:hAnsi="Times New Roman" w:cs="Times New Roman"/>
                <w:sz w:val="24"/>
                <w:szCs w:val="24"/>
              </w:rPr>
              <w:t xml:space="preserve">, adaptată pentru populații finite. Conform parametrilor standard (nivel de încredere de 95%, marjă de eroare de 5% și presupunerea unei variabilități maxime, adică </w:t>
            </w:r>
            <w:r w:rsidR="00505294" w:rsidRPr="00505294">
              <w:rPr>
                <w:rFonts w:ascii="Cambria Math" w:eastAsia="Times New Roman" w:hAnsi="Cambria Math" w:cs="Cambria Math"/>
                <w:sz w:val="24"/>
                <w:szCs w:val="24"/>
              </w:rPr>
              <w:t>𝑝</w:t>
            </w:r>
            <w:r w:rsidR="00505294" w:rsidRPr="00505294">
              <w:rPr>
                <w:rFonts w:ascii="Times New Roman" w:eastAsia="Times New Roman" w:hAnsi="Times New Roman" w:cs="Times New Roman"/>
                <w:sz w:val="24"/>
                <w:szCs w:val="24"/>
              </w:rPr>
              <w:t xml:space="preserve"> = 0.5 p=0.5), formula pentru o populație infinită generează un eșantion de aproximativ 384 de respondenți. Prin aplicarea corecției pentru populații finite, dimensiunea eșantionului se ajustează în funcție de mărimea populației </w:t>
            </w:r>
            <w:r w:rsidR="00505294" w:rsidRPr="00505294">
              <w:rPr>
                <w:rFonts w:ascii="Cambria Math" w:eastAsia="Times New Roman" w:hAnsi="Cambria Math" w:cs="Cambria Math"/>
                <w:sz w:val="24"/>
                <w:szCs w:val="24"/>
              </w:rPr>
              <w:t>𝑁</w:t>
            </w:r>
            <w:r w:rsidR="00505294" w:rsidRPr="00505294">
              <w:rPr>
                <w:rFonts w:ascii="Times New Roman" w:eastAsia="Times New Roman" w:hAnsi="Times New Roman" w:cs="Times New Roman"/>
                <w:sz w:val="24"/>
                <w:szCs w:val="24"/>
              </w:rPr>
              <w:t>. Pentru populații mici (până la 2.000 de persoane), se necesită un procent mai mare (16,10%) pentru a asigura o reprezentativitate adecvată, în timp ce pentru populații mari, numărul absolut de respondenți se stabilizează în jurul valorii de 384, reprezentând un procent mult mai redus (0,04% pentru 1.000.000 de persoane).</w:t>
            </w:r>
          </w:p>
          <w:p w:rsidR="00505294" w:rsidRPr="00505294" w:rsidRDefault="00505294" w:rsidP="00505294">
            <w:pPr>
              <w:widowControl/>
              <w:spacing w:before="100" w:beforeAutospacing="1"/>
              <w:ind w:firstLine="702"/>
              <w:jc w:val="both"/>
              <w:rPr>
                <w:rFonts w:ascii="Times New Roman" w:eastAsia="Times New Roman" w:hAnsi="Times New Roman" w:cs="Times New Roman"/>
                <w:sz w:val="24"/>
                <w:szCs w:val="24"/>
              </w:rPr>
            </w:pPr>
            <w:r w:rsidRPr="00505294">
              <w:rPr>
                <w:rFonts w:ascii="Times New Roman" w:eastAsia="Times New Roman" w:hAnsi="Times New Roman" w:cs="Times New Roman"/>
                <w:sz w:val="24"/>
                <w:szCs w:val="24"/>
              </w:rPr>
              <w:t>Formula utilizată:</w:t>
            </w:r>
          </w:p>
          <w:p w:rsidR="00505294" w:rsidRPr="00505294" w:rsidRDefault="00505294" w:rsidP="00505294">
            <w:pPr>
              <w:widowControl/>
              <w:spacing w:after="100" w:afterAutospacing="1"/>
              <w:rPr>
                <w:rFonts w:ascii="Times New Roman" w:eastAsia="Times New Roman" w:hAnsi="Times New Roman" w:cs="Times New Roman"/>
                <w:sz w:val="24"/>
                <w:szCs w:val="24"/>
              </w:rPr>
            </w:pPr>
            <w:r w:rsidRPr="00505294">
              <w:rPr>
                <w:rFonts w:ascii="Cambria Math" w:eastAsia="Times New Roman" w:hAnsi="Cambria Math" w:cs="Cambria Math"/>
                <w:sz w:val="24"/>
                <w:szCs w:val="24"/>
              </w:rPr>
              <w:t>𝑛</w:t>
            </w:r>
            <w:r w:rsidRPr="00505294">
              <w:rPr>
                <w:rFonts w:ascii="Times New Roman" w:eastAsia="Times New Roman" w:hAnsi="Times New Roman" w:cs="Times New Roman"/>
                <w:sz w:val="24"/>
                <w:szCs w:val="24"/>
              </w:rPr>
              <w:t xml:space="preserve"> = (</w:t>
            </w:r>
            <w:r w:rsidRPr="00505294">
              <w:rPr>
                <w:rFonts w:ascii="Cambria Math" w:eastAsia="Times New Roman" w:hAnsi="Cambria Math" w:cs="Cambria Math"/>
                <w:sz w:val="24"/>
                <w:szCs w:val="24"/>
              </w:rPr>
              <w:t>𝑍</w:t>
            </w:r>
            <w:r w:rsidRPr="00505294">
              <w:rPr>
                <w:rFonts w:ascii="Times New Roman" w:eastAsia="Times New Roman" w:hAnsi="Times New Roman" w:cs="Times New Roman"/>
                <w:sz w:val="24"/>
                <w:szCs w:val="24"/>
              </w:rPr>
              <w:t xml:space="preserve">² </w:t>
            </w:r>
            <w:r w:rsidRPr="00505294">
              <w:rPr>
                <w:rFonts w:ascii="Cambria Math" w:eastAsia="Times New Roman" w:hAnsi="Cambria Math" w:cs="Cambria Math"/>
                <w:sz w:val="24"/>
                <w:szCs w:val="24"/>
              </w:rPr>
              <w:t>⋅</w:t>
            </w:r>
            <w:r w:rsidRPr="00505294">
              <w:rPr>
                <w:rFonts w:ascii="Times New Roman" w:eastAsia="Times New Roman" w:hAnsi="Times New Roman" w:cs="Times New Roman"/>
                <w:sz w:val="24"/>
                <w:szCs w:val="24"/>
              </w:rPr>
              <w:t xml:space="preserve"> </w:t>
            </w:r>
            <w:r w:rsidRPr="00505294">
              <w:rPr>
                <w:rFonts w:ascii="Cambria Math" w:eastAsia="Times New Roman" w:hAnsi="Cambria Math" w:cs="Cambria Math"/>
                <w:sz w:val="24"/>
                <w:szCs w:val="24"/>
              </w:rPr>
              <w:t>𝑝</w:t>
            </w:r>
            <w:r w:rsidRPr="00505294">
              <w:rPr>
                <w:rFonts w:ascii="Times New Roman" w:eastAsia="Times New Roman" w:hAnsi="Times New Roman" w:cs="Times New Roman"/>
                <w:sz w:val="24"/>
                <w:szCs w:val="24"/>
              </w:rPr>
              <w:t xml:space="preserve"> </w:t>
            </w:r>
            <w:r w:rsidRPr="00505294">
              <w:rPr>
                <w:rFonts w:ascii="Cambria Math" w:eastAsia="Times New Roman" w:hAnsi="Cambria Math" w:cs="Cambria Math"/>
                <w:sz w:val="24"/>
                <w:szCs w:val="24"/>
              </w:rPr>
              <w:t>⋅</w:t>
            </w:r>
            <w:r w:rsidRPr="00505294">
              <w:rPr>
                <w:rFonts w:ascii="Times New Roman" w:eastAsia="Times New Roman" w:hAnsi="Times New Roman" w:cs="Times New Roman"/>
                <w:sz w:val="24"/>
                <w:szCs w:val="24"/>
              </w:rPr>
              <w:t xml:space="preserve"> (1 − </w:t>
            </w:r>
            <w:r w:rsidRPr="00505294">
              <w:rPr>
                <w:rFonts w:ascii="Cambria Math" w:eastAsia="Times New Roman" w:hAnsi="Cambria Math" w:cs="Cambria Math"/>
                <w:sz w:val="24"/>
                <w:szCs w:val="24"/>
              </w:rPr>
              <w:t>𝑝</w:t>
            </w:r>
            <w:r w:rsidRPr="00505294">
              <w:rPr>
                <w:rFonts w:ascii="Times New Roman" w:eastAsia="Times New Roman" w:hAnsi="Times New Roman" w:cs="Times New Roman"/>
                <w:sz w:val="24"/>
                <w:szCs w:val="24"/>
              </w:rPr>
              <w:t xml:space="preserve">)) / </w:t>
            </w:r>
            <w:r w:rsidRPr="00505294">
              <w:rPr>
                <w:rFonts w:ascii="Cambria Math" w:eastAsia="Times New Roman" w:hAnsi="Cambria Math" w:cs="Cambria Math"/>
                <w:sz w:val="24"/>
                <w:szCs w:val="24"/>
              </w:rPr>
              <w:t>𝑒</w:t>
            </w:r>
            <w:r w:rsidRPr="00505294">
              <w:rPr>
                <w:rFonts w:ascii="Times New Roman" w:eastAsia="Times New Roman" w:hAnsi="Times New Roman" w:cs="Times New Roman"/>
                <w:sz w:val="24"/>
                <w:szCs w:val="24"/>
              </w:rPr>
              <w:t xml:space="preserve">² </w:t>
            </w:r>
          </w:p>
          <w:p w:rsidR="00505294" w:rsidRPr="00505294" w:rsidRDefault="00505294" w:rsidP="00505294">
            <w:pPr>
              <w:widowControl/>
              <w:spacing w:before="100" w:beforeAutospacing="1" w:after="100" w:afterAutospacing="1"/>
              <w:rPr>
                <w:rFonts w:ascii="Times New Roman" w:eastAsia="Times New Roman" w:hAnsi="Times New Roman" w:cs="Times New Roman"/>
                <w:sz w:val="24"/>
                <w:szCs w:val="24"/>
              </w:rPr>
            </w:pPr>
            <w:r w:rsidRPr="00505294">
              <w:rPr>
                <w:rFonts w:ascii="Times New Roman" w:eastAsia="Times New Roman" w:hAnsi="Times New Roman" w:cs="Times New Roman"/>
                <w:sz w:val="24"/>
                <w:szCs w:val="24"/>
              </w:rPr>
              <w:t xml:space="preserve">Unde: </w:t>
            </w:r>
          </w:p>
          <w:p w:rsidR="00505294" w:rsidRPr="00505294" w:rsidRDefault="00505294" w:rsidP="00505294">
            <w:pPr>
              <w:widowControl/>
              <w:rPr>
                <w:rFonts w:ascii="Times New Roman" w:eastAsia="Times New Roman" w:hAnsi="Times New Roman" w:cs="Times New Roman"/>
                <w:sz w:val="24"/>
                <w:szCs w:val="24"/>
              </w:rPr>
            </w:pPr>
            <w:r w:rsidRPr="00505294">
              <w:rPr>
                <w:rFonts w:ascii="Cambria Math" w:eastAsia="Times New Roman" w:hAnsi="Cambria Math" w:cs="Cambria Math"/>
                <w:sz w:val="24"/>
                <w:szCs w:val="24"/>
              </w:rPr>
              <w:t>𝑛</w:t>
            </w:r>
            <w:r w:rsidRPr="00505294">
              <w:rPr>
                <w:rFonts w:ascii="Times New Roman" w:eastAsia="Times New Roman" w:hAnsi="Times New Roman" w:cs="Times New Roman"/>
                <w:sz w:val="24"/>
                <w:szCs w:val="24"/>
              </w:rPr>
              <w:t xml:space="preserve"> = dimensiunea eșantionului. </w:t>
            </w:r>
          </w:p>
          <w:p w:rsidR="00505294" w:rsidRPr="00505294" w:rsidRDefault="00505294" w:rsidP="00505294">
            <w:pPr>
              <w:widowControl/>
              <w:rPr>
                <w:rFonts w:ascii="Times New Roman" w:eastAsia="Times New Roman" w:hAnsi="Times New Roman" w:cs="Times New Roman"/>
                <w:sz w:val="24"/>
                <w:szCs w:val="24"/>
              </w:rPr>
            </w:pPr>
            <w:r w:rsidRPr="00505294">
              <w:rPr>
                <w:rFonts w:ascii="Cambria Math" w:eastAsia="Times New Roman" w:hAnsi="Cambria Math" w:cs="Cambria Math"/>
                <w:sz w:val="24"/>
                <w:szCs w:val="24"/>
              </w:rPr>
              <w:t>𝑍</w:t>
            </w:r>
            <w:r w:rsidRPr="00505294">
              <w:rPr>
                <w:rFonts w:ascii="Times New Roman" w:eastAsia="Times New Roman" w:hAnsi="Times New Roman" w:cs="Times New Roman"/>
                <w:sz w:val="24"/>
                <w:szCs w:val="24"/>
              </w:rPr>
              <w:t xml:space="preserve"> = scorul Z pentru nivelul de încredere (1.96 pentru 95%). </w:t>
            </w:r>
          </w:p>
          <w:p w:rsidR="00505294" w:rsidRPr="00505294" w:rsidRDefault="00505294" w:rsidP="00505294">
            <w:pPr>
              <w:widowControl/>
              <w:rPr>
                <w:rFonts w:ascii="Times New Roman" w:eastAsia="Times New Roman" w:hAnsi="Times New Roman" w:cs="Times New Roman"/>
                <w:sz w:val="24"/>
                <w:szCs w:val="24"/>
              </w:rPr>
            </w:pPr>
            <w:r w:rsidRPr="00505294">
              <w:rPr>
                <w:rFonts w:ascii="Cambria Math" w:eastAsia="Times New Roman" w:hAnsi="Cambria Math" w:cs="Cambria Math"/>
                <w:sz w:val="24"/>
                <w:szCs w:val="24"/>
              </w:rPr>
              <w:t>𝑝</w:t>
            </w:r>
            <w:r w:rsidRPr="00505294">
              <w:rPr>
                <w:rFonts w:ascii="Times New Roman" w:eastAsia="Times New Roman" w:hAnsi="Times New Roman" w:cs="Times New Roman"/>
                <w:sz w:val="24"/>
                <w:szCs w:val="24"/>
              </w:rPr>
              <w:t xml:space="preserve"> = proporția estimată a populației interesate (de obicei 0.5 pentru variabilitate maximă). </w:t>
            </w:r>
          </w:p>
          <w:p w:rsidR="00505294" w:rsidRPr="00505294" w:rsidRDefault="00505294" w:rsidP="00505294">
            <w:pPr>
              <w:widowControl/>
              <w:rPr>
                <w:rFonts w:ascii="Times New Roman" w:eastAsia="Times New Roman" w:hAnsi="Times New Roman" w:cs="Times New Roman"/>
                <w:sz w:val="24"/>
                <w:szCs w:val="24"/>
              </w:rPr>
            </w:pPr>
            <w:r w:rsidRPr="00505294">
              <w:rPr>
                <w:rFonts w:ascii="Cambria Math" w:eastAsia="Times New Roman" w:hAnsi="Cambria Math" w:cs="Cambria Math"/>
                <w:sz w:val="24"/>
                <w:szCs w:val="24"/>
              </w:rPr>
              <w:t>𝑒</w:t>
            </w:r>
            <w:r w:rsidRPr="00505294">
              <w:rPr>
                <w:rFonts w:ascii="Times New Roman" w:eastAsia="Times New Roman" w:hAnsi="Times New Roman" w:cs="Times New Roman"/>
                <w:sz w:val="24"/>
                <w:szCs w:val="24"/>
              </w:rPr>
              <w:t xml:space="preserve"> = marja de eroare (de obicei 0.05 sau 5%). </w:t>
            </w:r>
          </w:p>
          <w:p w:rsidR="00505294" w:rsidRPr="00505294" w:rsidRDefault="00505294" w:rsidP="00505294">
            <w:pPr>
              <w:widowControl/>
              <w:rPr>
                <w:rFonts w:ascii="Times New Roman" w:eastAsia="Times New Roman" w:hAnsi="Times New Roman" w:cs="Times New Roman"/>
                <w:sz w:val="24"/>
                <w:szCs w:val="24"/>
              </w:rPr>
            </w:pPr>
            <w:r w:rsidRPr="00505294">
              <w:rPr>
                <w:rFonts w:ascii="Times New Roman" w:eastAsia="Times New Roman" w:hAnsi="Times New Roman" w:cs="Times New Roman"/>
                <w:sz w:val="24"/>
                <w:szCs w:val="24"/>
              </w:rPr>
              <w:t xml:space="preserve">Corecție pentru populații finite: </w:t>
            </w:r>
          </w:p>
          <w:p w:rsidR="00505294" w:rsidRPr="00505294" w:rsidRDefault="00505294" w:rsidP="00505294">
            <w:pPr>
              <w:widowControl/>
              <w:rPr>
                <w:rFonts w:ascii="Times New Roman" w:eastAsia="Times New Roman" w:hAnsi="Times New Roman" w:cs="Times New Roman"/>
                <w:sz w:val="24"/>
                <w:szCs w:val="24"/>
              </w:rPr>
            </w:pPr>
            <w:r w:rsidRPr="00505294">
              <w:rPr>
                <w:rFonts w:ascii="Cambria Math" w:eastAsia="Times New Roman" w:hAnsi="Cambria Math" w:cs="Cambria Math"/>
                <w:sz w:val="24"/>
                <w:szCs w:val="24"/>
              </w:rPr>
              <w:t>𝑛</w:t>
            </w:r>
            <w:r w:rsidRPr="00505294">
              <w:rPr>
                <w:rFonts w:ascii="Times New Roman" w:eastAsia="Times New Roman" w:hAnsi="Times New Roman" w:cs="Times New Roman"/>
                <w:sz w:val="24"/>
                <w:szCs w:val="24"/>
              </w:rPr>
              <w:t xml:space="preserve"> ajustat = </w:t>
            </w:r>
            <w:r w:rsidRPr="00505294">
              <w:rPr>
                <w:rFonts w:ascii="Cambria Math" w:eastAsia="Times New Roman" w:hAnsi="Cambria Math" w:cs="Cambria Math"/>
                <w:sz w:val="24"/>
                <w:szCs w:val="24"/>
              </w:rPr>
              <w:t>𝑛</w:t>
            </w:r>
            <w:r w:rsidRPr="00505294">
              <w:rPr>
                <w:rFonts w:ascii="Times New Roman" w:eastAsia="Times New Roman" w:hAnsi="Times New Roman" w:cs="Times New Roman"/>
                <w:sz w:val="24"/>
                <w:szCs w:val="24"/>
              </w:rPr>
              <w:t xml:space="preserve"> / (1 + ((</w:t>
            </w:r>
            <w:r w:rsidRPr="00505294">
              <w:rPr>
                <w:rFonts w:ascii="Cambria Math" w:eastAsia="Times New Roman" w:hAnsi="Cambria Math" w:cs="Cambria Math"/>
                <w:sz w:val="24"/>
                <w:szCs w:val="24"/>
              </w:rPr>
              <w:t>𝑛</w:t>
            </w:r>
            <w:r w:rsidRPr="00505294">
              <w:rPr>
                <w:rFonts w:ascii="Times New Roman" w:eastAsia="Times New Roman" w:hAnsi="Times New Roman" w:cs="Times New Roman"/>
                <w:sz w:val="24"/>
                <w:szCs w:val="24"/>
              </w:rPr>
              <w:t xml:space="preserve"> − 1) / </w:t>
            </w:r>
            <w:r w:rsidRPr="00505294">
              <w:rPr>
                <w:rFonts w:ascii="Cambria Math" w:eastAsia="Times New Roman" w:hAnsi="Cambria Math" w:cs="Cambria Math"/>
                <w:sz w:val="24"/>
                <w:szCs w:val="24"/>
              </w:rPr>
              <w:t>𝑁</w:t>
            </w:r>
            <w:r w:rsidRPr="00505294">
              <w:rPr>
                <w:rFonts w:ascii="Times New Roman" w:eastAsia="Times New Roman" w:hAnsi="Times New Roman" w:cs="Times New Roman"/>
                <w:sz w:val="24"/>
                <w:szCs w:val="24"/>
              </w:rPr>
              <w:t>))</w:t>
            </w:r>
          </w:p>
          <w:p w:rsidR="00316D4E" w:rsidRPr="00F36BBF" w:rsidRDefault="00316D4E" w:rsidP="00CE5BD4">
            <w:pPr>
              <w:widowControl/>
              <w:spacing w:before="100" w:beforeAutospacing="1" w:after="100" w:afterAutospacing="1"/>
              <w:ind w:firstLine="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 referire la aspecte ce vizează i</w:t>
            </w:r>
            <w:r w:rsidR="00F032BF">
              <w:rPr>
                <w:rFonts w:ascii="Times New Roman" w:eastAsia="Times New Roman" w:hAnsi="Times New Roman" w:cs="Times New Roman"/>
                <w:sz w:val="24"/>
                <w:szCs w:val="24"/>
              </w:rPr>
              <w:t xml:space="preserve">ntrarea </w:t>
            </w:r>
            <w:r w:rsidR="00EA2685">
              <w:rPr>
                <w:rFonts w:ascii="Times New Roman" w:eastAsia="Times New Roman" w:hAnsi="Times New Roman" w:cs="Times New Roman"/>
                <w:sz w:val="24"/>
                <w:szCs w:val="24"/>
              </w:rPr>
              <w:t>î</w:t>
            </w:r>
            <w:r w:rsidR="00F032BF">
              <w:rPr>
                <w:rFonts w:ascii="Times New Roman" w:eastAsia="Times New Roman" w:hAnsi="Times New Roman" w:cs="Times New Roman"/>
                <w:sz w:val="24"/>
                <w:szCs w:val="24"/>
              </w:rPr>
              <w:t>n vigoare, menționăm că se propune data publicării î</w:t>
            </w:r>
            <w:r w:rsidR="00EA2685">
              <w:rPr>
                <w:rFonts w:ascii="Times New Roman" w:eastAsia="Times New Roman" w:hAnsi="Times New Roman" w:cs="Times New Roman"/>
                <w:sz w:val="24"/>
                <w:szCs w:val="24"/>
              </w:rPr>
              <w:t>n M</w:t>
            </w:r>
            <w:r>
              <w:rPr>
                <w:rFonts w:ascii="Times New Roman" w:eastAsia="Times New Roman" w:hAnsi="Times New Roman" w:cs="Times New Roman"/>
                <w:sz w:val="24"/>
                <w:szCs w:val="24"/>
              </w:rPr>
              <w:t>onitor</w:t>
            </w:r>
            <w:r w:rsidR="00EA2685">
              <w:rPr>
                <w:rFonts w:ascii="Times New Roman" w:eastAsia="Times New Roman" w:hAnsi="Times New Roman" w:cs="Times New Roman"/>
                <w:sz w:val="24"/>
                <w:szCs w:val="24"/>
              </w:rPr>
              <w:t>ul O</w:t>
            </w:r>
            <w:r w:rsidR="00F032BF">
              <w:rPr>
                <w:rFonts w:ascii="Times New Roman" w:eastAsia="Times New Roman" w:hAnsi="Times New Roman" w:cs="Times New Roman"/>
                <w:sz w:val="24"/>
                <w:szCs w:val="24"/>
              </w:rPr>
              <w:t>ficial</w:t>
            </w:r>
            <w:r w:rsidR="00CE5BD4">
              <w:rPr>
                <w:rFonts w:ascii="Times New Roman" w:eastAsia="Times New Roman" w:hAnsi="Times New Roman" w:cs="Times New Roman"/>
                <w:sz w:val="24"/>
                <w:szCs w:val="24"/>
              </w:rPr>
              <w:t xml:space="preserve"> al Republicii Moldova</w:t>
            </w:r>
            <w:r w:rsidR="00F032BF">
              <w:rPr>
                <w:rFonts w:ascii="Times New Roman" w:eastAsia="Times New Roman" w:hAnsi="Times New Roman" w:cs="Times New Roman"/>
                <w:sz w:val="24"/>
                <w:szCs w:val="24"/>
              </w:rPr>
              <w:t>, având î</w:t>
            </w:r>
            <w:r>
              <w:rPr>
                <w:rFonts w:ascii="Times New Roman" w:eastAsia="Times New Roman" w:hAnsi="Times New Roman" w:cs="Times New Roman"/>
                <w:sz w:val="24"/>
                <w:szCs w:val="24"/>
              </w:rPr>
              <w:t xml:space="preserve">n vedere intrarea în vigoare a Codului </w:t>
            </w:r>
            <w:r w:rsidR="00CE5BD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rbanismului </w:t>
            </w:r>
            <w:r w:rsidR="00CE5BD4">
              <w:rPr>
                <w:rFonts w:ascii="Times New Roman" w:eastAsia="Times New Roman" w:hAnsi="Times New Roman" w:cs="Times New Roman"/>
                <w:sz w:val="24"/>
                <w:szCs w:val="24"/>
              </w:rPr>
              <w:t>ș</w:t>
            </w:r>
            <w:r>
              <w:rPr>
                <w:rFonts w:ascii="Times New Roman" w:eastAsia="Times New Roman" w:hAnsi="Times New Roman" w:cs="Times New Roman"/>
                <w:sz w:val="24"/>
                <w:szCs w:val="24"/>
              </w:rPr>
              <w:t xml:space="preserve">i </w:t>
            </w:r>
            <w:r w:rsidR="00CE5BD4">
              <w:rPr>
                <w:rFonts w:ascii="Times New Roman" w:eastAsia="Times New Roman" w:hAnsi="Times New Roman" w:cs="Times New Roman"/>
                <w:sz w:val="24"/>
                <w:szCs w:val="24"/>
              </w:rPr>
              <w:t>c</w:t>
            </w:r>
            <w:r>
              <w:rPr>
                <w:rFonts w:ascii="Times New Roman" w:eastAsia="Times New Roman" w:hAnsi="Times New Roman" w:cs="Times New Roman"/>
                <w:sz w:val="24"/>
                <w:szCs w:val="24"/>
              </w:rPr>
              <w:t>onstrucției nr. 434</w:t>
            </w:r>
            <w:r w:rsidR="00CE5BD4">
              <w:rPr>
                <w:rFonts w:ascii="Times New Roman" w:eastAsia="Times New Roman" w:hAnsi="Times New Roman" w:cs="Times New Roman"/>
                <w:sz w:val="24"/>
                <w:szCs w:val="24"/>
              </w:rPr>
              <w:t>/</w:t>
            </w:r>
            <w:r>
              <w:rPr>
                <w:rFonts w:ascii="Times New Roman" w:eastAsia="Times New Roman" w:hAnsi="Times New Roman" w:cs="Times New Roman"/>
                <w:sz w:val="24"/>
                <w:szCs w:val="24"/>
              </w:rPr>
              <w:t>2023 pe data de 30 ianuarie 2025, iar preze</w:t>
            </w:r>
            <w:r w:rsidR="00EA2685">
              <w:rPr>
                <w:rFonts w:ascii="Times New Roman" w:eastAsia="Times New Roman" w:hAnsi="Times New Roman" w:cs="Times New Roman"/>
                <w:sz w:val="24"/>
                <w:szCs w:val="24"/>
              </w:rPr>
              <w:t>ntului R</w:t>
            </w:r>
            <w:r>
              <w:rPr>
                <w:rFonts w:ascii="Times New Roman" w:eastAsia="Times New Roman" w:hAnsi="Times New Roman" w:cs="Times New Roman"/>
                <w:sz w:val="24"/>
                <w:szCs w:val="24"/>
              </w:rPr>
              <w:t xml:space="preserve">egulament se elaborează </w:t>
            </w:r>
            <w:r w:rsidR="00EA2685">
              <w:rPr>
                <w:rFonts w:ascii="Times New Roman" w:eastAsia="Times New Roman" w:hAnsi="Times New Roman" w:cs="Times New Roman"/>
                <w:sz w:val="24"/>
                <w:szCs w:val="24"/>
              </w:rPr>
              <w:t>î</w:t>
            </w:r>
            <w:r>
              <w:rPr>
                <w:rFonts w:ascii="Times New Roman" w:eastAsia="Times New Roman" w:hAnsi="Times New Roman" w:cs="Times New Roman"/>
                <w:sz w:val="24"/>
                <w:szCs w:val="24"/>
              </w:rPr>
              <w:t xml:space="preserve">n temeiul </w:t>
            </w:r>
            <w:r w:rsidR="00EA2685">
              <w:rPr>
                <w:rFonts w:ascii="Times New Roman" w:eastAsia="Times New Roman" w:hAnsi="Times New Roman" w:cs="Times New Roman"/>
                <w:sz w:val="24"/>
                <w:szCs w:val="24"/>
              </w:rPr>
              <w:t>C</w:t>
            </w:r>
            <w:r>
              <w:rPr>
                <w:rFonts w:ascii="Times New Roman" w:eastAsia="Times New Roman" w:hAnsi="Times New Roman" w:cs="Times New Roman"/>
                <w:sz w:val="24"/>
                <w:szCs w:val="24"/>
              </w:rPr>
              <w:t>odului.</w:t>
            </w:r>
          </w:p>
        </w:tc>
      </w:tr>
      <w:tr w:rsidR="0090612E" w:rsidRPr="00F36BBF" w:rsidTr="0090612E">
        <w:tc>
          <w:tcPr>
            <w:tcW w:w="9630" w:type="dxa"/>
          </w:tcPr>
          <w:p w:rsidR="0090612E" w:rsidRPr="00F36BBF" w:rsidRDefault="00BB025F" w:rsidP="00F36BBF">
            <w:pPr>
              <w:ind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3.2.</w:t>
            </w:r>
            <w:r w:rsidRPr="00F36BBF">
              <w:rPr>
                <w:rFonts w:ascii="Times New Roman" w:eastAsia="Times New Roman" w:hAnsi="Times New Roman" w:cs="Times New Roman"/>
                <w:spacing w:val="7"/>
                <w:sz w:val="24"/>
                <w:szCs w:val="24"/>
              </w:rPr>
              <w:t xml:space="preserve"> </w:t>
            </w:r>
            <w:r w:rsidRPr="00F36BBF">
              <w:rPr>
                <w:rFonts w:ascii="Times New Roman" w:eastAsia="Times New Roman" w:hAnsi="Times New Roman" w:cs="Times New Roman"/>
                <w:sz w:val="24"/>
                <w:szCs w:val="24"/>
              </w:rPr>
              <w:t>Opțiun</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le</w:t>
            </w:r>
            <w:r w:rsidRPr="00F36BBF">
              <w:rPr>
                <w:rFonts w:ascii="Times New Roman" w:eastAsia="Times New Roman" w:hAnsi="Times New Roman" w:cs="Times New Roman"/>
                <w:spacing w:val="8"/>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l</w:t>
            </w:r>
            <w:r w:rsidRPr="00F36BBF">
              <w:rPr>
                <w:rFonts w:ascii="Times New Roman" w:eastAsia="Times New Roman" w:hAnsi="Times New Roman" w:cs="Times New Roman"/>
                <w:spacing w:val="1"/>
                <w:sz w:val="24"/>
                <w:szCs w:val="24"/>
              </w:rPr>
              <w:t>t</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rn</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ve</w:t>
            </w:r>
            <w:r w:rsidRPr="00F36BBF">
              <w:rPr>
                <w:rFonts w:ascii="Times New Roman" w:eastAsia="Times New Roman" w:hAnsi="Times New Roman" w:cs="Times New Roman"/>
                <w:spacing w:val="7"/>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n</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l</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pacing w:val="-1"/>
                <w:sz w:val="24"/>
                <w:szCs w:val="24"/>
              </w:rPr>
              <w:t>za</w:t>
            </w:r>
            <w:r w:rsidRPr="00F36BBF">
              <w:rPr>
                <w:rFonts w:ascii="Times New Roman" w:eastAsia="Times New Roman" w:hAnsi="Times New Roman" w:cs="Times New Roman"/>
                <w:sz w:val="24"/>
                <w:szCs w:val="24"/>
              </w:rPr>
              <w:t>te</w:t>
            </w:r>
            <w:r w:rsidRPr="00F36BBF">
              <w:rPr>
                <w:rFonts w:ascii="Times New Roman" w:eastAsia="Times New Roman" w:hAnsi="Times New Roman" w:cs="Times New Roman"/>
                <w:spacing w:val="7"/>
                <w:sz w:val="24"/>
                <w:szCs w:val="24"/>
              </w:rPr>
              <w:t xml:space="preserve"> </w:t>
            </w:r>
            <w:r w:rsidRPr="00F36BBF">
              <w:rPr>
                <w:rFonts w:ascii="Times New Roman" w:eastAsia="Times New Roman" w:hAnsi="Times New Roman" w:cs="Times New Roman"/>
                <w:sz w:val="24"/>
                <w:szCs w:val="24"/>
              </w:rPr>
              <w:t>și</w:t>
            </w:r>
            <w:r w:rsidRPr="00F36BBF">
              <w:rPr>
                <w:rFonts w:ascii="Times New Roman" w:eastAsia="Times New Roman" w:hAnsi="Times New Roman" w:cs="Times New Roman"/>
                <w:spacing w:val="8"/>
                <w:sz w:val="24"/>
                <w:szCs w:val="24"/>
              </w:rPr>
              <w:t xml:space="preserve"> </w:t>
            </w:r>
            <w:r w:rsidRPr="00F36BBF">
              <w:rPr>
                <w:rFonts w:ascii="Times New Roman" w:eastAsia="Times New Roman" w:hAnsi="Times New Roman" w:cs="Times New Roman"/>
                <w:sz w:val="24"/>
                <w:szCs w:val="24"/>
              </w:rPr>
              <w:t>mo</w:t>
            </w:r>
            <w:r w:rsidRPr="00F36BBF">
              <w:rPr>
                <w:rFonts w:ascii="Times New Roman" w:eastAsia="Times New Roman" w:hAnsi="Times New Roman" w:cs="Times New Roman"/>
                <w:spacing w:val="1"/>
                <w:sz w:val="24"/>
                <w:szCs w:val="24"/>
              </w:rPr>
              <w:t>t</w:t>
            </w:r>
            <w:r w:rsidRPr="00F36BBF">
              <w:rPr>
                <w:rFonts w:ascii="Times New Roman" w:eastAsia="Times New Roman" w:hAnsi="Times New Roman" w:cs="Times New Roman"/>
                <w:sz w:val="24"/>
                <w:szCs w:val="24"/>
              </w:rPr>
              <w:t>ivele</w:t>
            </w:r>
            <w:r w:rsidRPr="00F36BBF">
              <w:rPr>
                <w:rFonts w:ascii="Times New Roman" w:eastAsia="Times New Roman" w:hAnsi="Times New Roman" w:cs="Times New Roman"/>
                <w:spacing w:val="6"/>
                <w:sz w:val="24"/>
                <w:szCs w:val="24"/>
              </w:rPr>
              <w:t xml:space="preserve"> </w:t>
            </w:r>
            <w:r w:rsidRPr="00F36BBF">
              <w:rPr>
                <w:rFonts w:ascii="Times New Roman" w:eastAsia="Times New Roman" w:hAnsi="Times New Roman" w:cs="Times New Roman"/>
                <w:sz w:val="24"/>
                <w:szCs w:val="24"/>
              </w:rPr>
              <w:t>p</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ntru</w:t>
            </w:r>
            <w:r w:rsidRPr="00F36BBF">
              <w:rPr>
                <w:rFonts w:ascii="Times New Roman" w:eastAsia="Times New Roman" w:hAnsi="Times New Roman" w:cs="Times New Roman"/>
                <w:spacing w:val="7"/>
                <w:sz w:val="24"/>
                <w:szCs w:val="24"/>
              </w:rPr>
              <w:t xml:space="preserve"> </w:t>
            </w:r>
            <w:r w:rsidRPr="00F36BBF">
              <w:rPr>
                <w:rFonts w:ascii="Times New Roman" w:eastAsia="Times New Roman" w:hAnsi="Times New Roman" w:cs="Times New Roman"/>
                <w:spacing w:val="-1"/>
                <w:sz w:val="24"/>
                <w:szCs w:val="24"/>
              </w:rPr>
              <w:t>ca</w:t>
            </w:r>
            <w:r w:rsidRPr="00F36BBF">
              <w:rPr>
                <w:rFonts w:ascii="Times New Roman" w:eastAsia="Times New Roman" w:hAnsi="Times New Roman" w:cs="Times New Roman"/>
                <w:sz w:val="24"/>
                <w:szCs w:val="24"/>
              </w:rPr>
              <w:t>re</w:t>
            </w:r>
            <w:r w:rsidRPr="00F36BBF">
              <w:rPr>
                <w:rFonts w:ascii="Times New Roman" w:eastAsia="Times New Roman" w:hAnsi="Times New Roman" w:cs="Times New Roman"/>
                <w:spacing w:val="9"/>
                <w:sz w:val="24"/>
                <w:szCs w:val="24"/>
              </w:rPr>
              <w:t xml:space="preserve"> </w:t>
            </w:r>
            <w:r w:rsidRPr="00F36BBF">
              <w:rPr>
                <w:rFonts w:ascii="Times New Roman" w:eastAsia="Times New Roman" w:hAnsi="Times New Roman" w:cs="Times New Roman"/>
                <w:spacing w:val="-1"/>
                <w:sz w:val="24"/>
                <w:szCs w:val="24"/>
              </w:rPr>
              <w:t>ace</w:t>
            </w:r>
            <w:r w:rsidRPr="00F36BBF">
              <w:rPr>
                <w:rFonts w:ascii="Times New Roman" w:eastAsia="Times New Roman" w:hAnsi="Times New Roman" w:cs="Times New Roman"/>
                <w:sz w:val="24"/>
                <w:szCs w:val="24"/>
              </w:rPr>
              <w:t>st</w:t>
            </w:r>
            <w:r w:rsidRPr="00F36BBF">
              <w:rPr>
                <w:rFonts w:ascii="Times New Roman" w:eastAsia="Times New Roman" w:hAnsi="Times New Roman" w:cs="Times New Roman"/>
                <w:spacing w:val="2"/>
                <w:sz w:val="24"/>
                <w:szCs w:val="24"/>
              </w:rPr>
              <w:t>e</w:t>
            </w:r>
            <w:r w:rsidRPr="00F36BBF">
              <w:rPr>
                <w:rFonts w:ascii="Times New Roman" w:eastAsia="Times New Roman" w:hAnsi="Times New Roman" w:cs="Times New Roman"/>
                <w:sz w:val="24"/>
                <w:szCs w:val="24"/>
              </w:rPr>
              <w:t>a</w:t>
            </w:r>
            <w:r w:rsidRPr="00F36BBF">
              <w:rPr>
                <w:rFonts w:ascii="Times New Roman" w:eastAsia="Times New Roman" w:hAnsi="Times New Roman" w:cs="Times New Roman"/>
                <w:spacing w:val="6"/>
                <w:sz w:val="24"/>
                <w:szCs w:val="24"/>
              </w:rPr>
              <w:t xml:space="preserve"> </w:t>
            </w:r>
            <w:r w:rsidRPr="00F36BBF">
              <w:rPr>
                <w:rFonts w:ascii="Times New Roman" w:eastAsia="Times New Roman" w:hAnsi="Times New Roman" w:cs="Times New Roman"/>
                <w:sz w:val="24"/>
                <w:szCs w:val="24"/>
              </w:rPr>
              <w:t>nu</w:t>
            </w:r>
            <w:r w:rsidRPr="00F36BBF">
              <w:rPr>
                <w:rFonts w:ascii="Times New Roman" w:eastAsia="Times New Roman" w:hAnsi="Times New Roman" w:cs="Times New Roman"/>
                <w:spacing w:val="7"/>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u</w:t>
            </w:r>
            <w:r w:rsidRPr="00F36BBF">
              <w:rPr>
                <w:rFonts w:ascii="Times New Roman" w:eastAsia="Times New Roman" w:hAnsi="Times New Roman" w:cs="Times New Roman"/>
                <w:spacing w:val="7"/>
                <w:sz w:val="24"/>
                <w:szCs w:val="24"/>
              </w:rPr>
              <w:t xml:space="preserve"> </w:t>
            </w:r>
            <w:r w:rsidRPr="00F36BBF">
              <w:rPr>
                <w:rFonts w:ascii="Times New Roman" w:eastAsia="Times New Roman" w:hAnsi="Times New Roman" w:cs="Times New Roman"/>
                <w:spacing w:val="1"/>
                <w:sz w:val="24"/>
                <w:szCs w:val="24"/>
              </w:rPr>
              <w:t>f</w:t>
            </w:r>
            <w:r w:rsidRPr="00F36BBF">
              <w:rPr>
                <w:rFonts w:ascii="Times New Roman" w:eastAsia="Times New Roman" w:hAnsi="Times New Roman" w:cs="Times New Roman"/>
                <w:sz w:val="24"/>
                <w:szCs w:val="24"/>
              </w:rPr>
              <w:t>ost</w:t>
            </w:r>
            <w:r w:rsidRPr="00F36BBF">
              <w:rPr>
                <w:rFonts w:ascii="Times New Roman" w:eastAsia="Times New Roman" w:hAnsi="Times New Roman" w:cs="Times New Roman"/>
                <w:spacing w:val="8"/>
                <w:sz w:val="24"/>
                <w:szCs w:val="24"/>
              </w:rPr>
              <w:t xml:space="preserve"> </w:t>
            </w:r>
            <w:r w:rsidRPr="00F36BBF">
              <w:rPr>
                <w:rFonts w:ascii="Times New Roman" w:eastAsia="Times New Roman" w:hAnsi="Times New Roman" w:cs="Times New Roman"/>
                <w:sz w:val="24"/>
                <w:szCs w:val="24"/>
              </w:rPr>
              <w:t>luate</w:t>
            </w:r>
            <w:r w:rsidRPr="00F36BBF">
              <w:rPr>
                <w:rFonts w:ascii="Times New Roman" w:eastAsia="Times New Roman" w:hAnsi="Times New Roman" w:cs="Times New Roman"/>
                <w:spacing w:val="6"/>
                <w:sz w:val="24"/>
                <w:szCs w:val="24"/>
              </w:rPr>
              <w:t xml:space="preserve"> </w:t>
            </w:r>
            <w:r w:rsidRPr="00F36BBF">
              <w:rPr>
                <w:rFonts w:ascii="Times New Roman" w:eastAsia="Times New Roman" w:hAnsi="Times New Roman" w:cs="Times New Roman"/>
                <w:sz w:val="24"/>
                <w:szCs w:val="24"/>
              </w:rPr>
              <w:t xml:space="preserve">în </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onsid</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r</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z w:val="24"/>
                <w:szCs w:val="24"/>
              </w:rPr>
              <w:t>e</w:t>
            </w:r>
          </w:p>
        </w:tc>
      </w:tr>
      <w:tr w:rsidR="0090612E" w:rsidRPr="00F36BBF" w:rsidTr="00316D4E">
        <w:trPr>
          <w:trHeight w:val="1793"/>
        </w:trPr>
        <w:tc>
          <w:tcPr>
            <w:tcW w:w="9630" w:type="dxa"/>
          </w:tcPr>
          <w:p w:rsidR="0090612E" w:rsidRPr="00F36BBF" w:rsidRDefault="00A72467" w:rsidP="00CE5BD4">
            <w:pPr>
              <w:widowControl/>
              <w:spacing w:before="100" w:beforeAutospacing="1" w:after="100" w:afterAutospacing="1"/>
              <w:ind w:firstLine="702"/>
              <w:jc w:val="both"/>
              <w:rPr>
                <w:rFonts w:ascii="Times New Roman" w:eastAsia="Times New Roman" w:hAnsi="Times New Roman" w:cs="Times New Roman"/>
                <w:sz w:val="24"/>
                <w:szCs w:val="24"/>
              </w:rPr>
            </w:pPr>
            <w:r w:rsidRPr="00A72467">
              <w:rPr>
                <w:rFonts w:ascii="Times New Roman" w:eastAsia="Times New Roman" w:hAnsi="Times New Roman" w:cs="Times New Roman"/>
                <w:sz w:val="24"/>
                <w:szCs w:val="24"/>
              </w:rPr>
              <w:lastRenderedPageBreak/>
              <w:t xml:space="preserve">În procesul de elaborare a </w:t>
            </w:r>
            <w:r w:rsidR="00CE5BD4">
              <w:rPr>
                <w:rFonts w:ascii="Times New Roman" w:eastAsia="Times New Roman" w:hAnsi="Times New Roman" w:cs="Times New Roman"/>
                <w:sz w:val="24"/>
                <w:szCs w:val="24"/>
              </w:rPr>
              <w:t>proiectului</w:t>
            </w:r>
            <w:r w:rsidRPr="00A72467">
              <w:rPr>
                <w:rFonts w:ascii="Times New Roman" w:eastAsia="Times New Roman" w:hAnsi="Times New Roman" w:cs="Times New Roman"/>
                <w:sz w:val="24"/>
                <w:szCs w:val="24"/>
              </w:rPr>
              <w:t xml:space="preserve">, s-a analizat opțiunea impunerii unei cote specifice de participare exclusiv pentru ședințele publice, ca măsură de asigurare a reprezentativității consultărilor. Totuși, această alternativă nu a fost </w:t>
            </w:r>
            <w:r w:rsidR="00CE5BD4">
              <w:rPr>
                <w:rFonts w:ascii="Times New Roman" w:eastAsia="Times New Roman" w:hAnsi="Times New Roman" w:cs="Times New Roman"/>
                <w:sz w:val="24"/>
                <w:szCs w:val="24"/>
              </w:rPr>
              <w:t>luată în considerare</w:t>
            </w:r>
            <w:r w:rsidRPr="00A72467">
              <w:rPr>
                <w:rFonts w:ascii="Times New Roman" w:eastAsia="Times New Roman" w:hAnsi="Times New Roman" w:cs="Times New Roman"/>
                <w:sz w:val="24"/>
                <w:szCs w:val="24"/>
              </w:rPr>
              <w:t xml:space="preserve">, având în vedere faptul că, în anumite zone, identitatea locală și gradul de conștientizare privind importanța participării pot fi limitate. Prin urmare, s-a optat pentru un sistem diversificat de consultare, care, pe lângă ședințele publice, include și alte metode de colectare a opiniilor </w:t>
            </w:r>
          </w:p>
        </w:tc>
      </w:tr>
      <w:tr w:rsidR="0090612E" w:rsidRPr="00F36BBF" w:rsidTr="0090612E">
        <w:tc>
          <w:tcPr>
            <w:tcW w:w="9630" w:type="dxa"/>
          </w:tcPr>
          <w:p w:rsidR="0090612E" w:rsidRPr="00F36BBF" w:rsidRDefault="00A72467" w:rsidP="00F36BBF">
            <w:pPr>
              <w:ind w:firstLine="702"/>
              <w:rPr>
                <w:rFonts w:ascii="Times New Roman" w:eastAsia="Times New Roman" w:hAnsi="Times New Roman" w:cs="Times New Roman"/>
                <w:sz w:val="24"/>
                <w:szCs w:val="24"/>
              </w:rPr>
            </w:pPr>
            <w:r w:rsidRPr="00F36BBF">
              <w:rPr>
                <w:rFonts w:ascii="Times New Roman" w:eastAsia="Times New Roman" w:hAnsi="Times New Roman" w:cs="Times New Roman"/>
                <w:b/>
                <w:bCs/>
                <w:sz w:val="24"/>
                <w:szCs w:val="24"/>
              </w:rPr>
              <w:t>4. Ana</w:t>
            </w:r>
            <w:r w:rsidRPr="00F36BBF">
              <w:rPr>
                <w:rFonts w:ascii="Times New Roman" w:eastAsia="Times New Roman" w:hAnsi="Times New Roman" w:cs="Times New Roman"/>
                <w:b/>
                <w:bCs/>
                <w:spacing w:val="1"/>
                <w:sz w:val="24"/>
                <w:szCs w:val="24"/>
              </w:rPr>
              <w:t>l</w:t>
            </w:r>
            <w:r w:rsidRPr="00F36BBF">
              <w:rPr>
                <w:rFonts w:ascii="Times New Roman" w:eastAsia="Times New Roman" w:hAnsi="Times New Roman" w:cs="Times New Roman"/>
                <w:b/>
                <w:bCs/>
                <w:sz w:val="24"/>
                <w:szCs w:val="24"/>
              </w:rPr>
              <w:t>iza i</w:t>
            </w:r>
            <w:r w:rsidRPr="00F36BBF">
              <w:rPr>
                <w:rFonts w:ascii="Times New Roman" w:eastAsia="Times New Roman" w:hAnsi="Times New Roman" w:cs="Times New Roman"/>
                <w:b/>
                <w:bCs/>
                <w:spacing w:val="2"/>
                <w:sz w:val="24"/>
                <w:szCs w:val="24"/>
              </w:rPr>
              <w:t>m</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w:t>
            </w:r>
            <w:r w:rsidRPr="00F36BBF">
              <w:rPr>
                <w:rFonts w:ascii="Times New Roman" w:eastAsia="Times New Roman" w:hAnsi="Times New Roman" w:cs="Times New Roman"/>
                <w:b/>
                <w:bCs/>
                <w:spacing w:val="-2"/>
                <w:sz w:val="24"/>
                <w:szCs w:val="24"/>
              </w:rPr>
              <w:t>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pacing w:val="-1"/>
                <w:sz w:val="24"/>
                <w:szCs w:val="24"/>
              </w:rPr>
              <w:t>d</w:t>
            </w:r>
            <w:r w:rsidRPr="00F36BBF">
              <w:rPr>
                <w:rFonts w:ascii="Times New Roman" w:eastAsia="Times New Roman" w:hAnsi="Times New Roman" w:cs="Times New Roman"/>
                <w:b/>
                <w:bCs/>
                <w:sz w:val="24"/>
                <w:szCs w:val="24"/>
              </w:rPr>
              <w:t>e</w:t>
            </w:r>
            <w:r w:rsidRPr="00F36BBF">
              <w:rPr>
                <w:rFonts w:ascii="Times New Roman" w:eastAsia="Times New Roman" w:hAnsi="Times New Roman" w:cs="Times New Roman"/>
                <w:b/>
                <w:bCs/>
                <w:spacing w:val="-1"/>
                <w:sz w:val="24"/>
                <w:szCs w:val="24"/>
              </w:rPr>
              <w:t xml:space="preserve"> re</w:t>
            </w:r>
            <w:r w:rsidRPr="00F36BBF">
              <w:rPr>
                <w:rFonts w:ascii="Times New Roman" w:eastAsia="Times New Roman" w:hAnsi="Times New Roman" w:cs="Times New Roman"/>
                <w:b/>
                <w:bCs/>
                <w:sz w:val="24"/>
                <w:szCs w:val="24"/>
              </w:rPr>
              <w:t>gle</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pacing w:val="1"/>
                <w:sz w:val="24"/>
                <w:szCs w:val="24"/>
              </w:rPr>
              <w:t>n</w:t>
            </w:r>
            <w:r w:rsidRPr="00F36BBF">
              <w:rPr>
                <w:rFonts w:ascii="Times New Roman" w:eastAsia="Times New Roman" w:hAnsi="Times New Roman" w:cs="Times New Roman"/>
                <w:b/>
                <w:bCs/>
                <w:sz w:val="24"/>
                <w:szCs w:val="24"/>
              </w:rPr>
              <w:t>tare</w:t>
            </w:r>
          </w:p>
        </w:tc>
      </w:tr>
      <w:tr w:rsidR="0090612E" w:rsidRPr="00F36BBF" w:rsidTr="0090612E">
        <w:tc>
          <w:tcPr>
            <w:tcW w:w="9630" w:type="dxa"/>
          </w:tcPr>
          <w:p w:rsidR="0090612E" w:rsidRPr="00F36BBF" w:rsidRDefault="00A72467" w:rsidP="00F36BBF">
            <w:pPr>
              <w:ind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4.1. </w:t>
            </w:r>
            <w:r w:rsidRPr="00F36BBF">
              <w:rPr>
                <w:rFonts w:ascii="Times New Roman" w:eastAsia="Times New Roman" w:hAnsi="Times New Roman" w:cs="Times New Roman"/>
                <w:spacing w:val="-3"/>
                <w:sz w:val="24"/>
                <w:szCs w:val="24"/>
              </w:rPr>
              <w:t>I</w:t>
            </w:r>
            <w:r w:rsidRPr="00F36BBF">
              <w:rPr>
                <w:rFonts w:ascii="Times New Roman" w:eastAsia="Times New Roman" w:hAnsi="Times New Roman" w:cs="Times New Roman"/>
                <w:sz w:val="24"/>
                <w:szCs w:val="24"/>
              </w:rPr>
              <w:t>mp</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tul</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supra</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2"/>
                <w:sz w:val="24"/>
                <w:szCs w:val="24"/>
              </w:rPr>
              <w:t>s</w:t>
            </w:r>
            <w:r w:rsidRPr="00F36BBF">
              <w:rPr>
                <w:rFonts w:ascii="Times New Roman" w:eastAsia="Times New Roman" w:hAnsi="Times New Roman" w:cs="Times New Roman"/>
                <w:spacing w:val="-1"/>
                <w:sz w:val="24"/>
                <w:szCs w:val="24"/>
              </w:rPr>
              <w:t>ec</w:t>
            </w:r>
            <w:r w:rsidRPr="00F36BBF">
              <w:rPr>
                <w:rFonts w:ascii="Times New Roman" w:eastAsia="Times New Roman" w:hAnsi="Times New Roman" w:cs="Times New Roman"/>
                <w:spacing w:val="3"/>
                <w:sz w:val="24"/>
                <w:szCs w:val="24"/>
              </w:rPr>
              <w:t>t</w:t>
            </w:r>
            <w:r w:rsidRPr="00F36BBF">
              <w:rPr>
                <w:rFonts w:ascii="Times New Roman" w:eastAsia="Times New Roman" w:hAnsi="Times New Roman" w:cs="Times New Roman"/>
                <w:sz w:val="24"/>
                <w:szCs w:val="24"/>
              </w:rPr>
              <w:t>orului</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publ</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c</w:t>
            </w:r>
          </w:p>
        </w:tc>
      </w:tr>
      <w:tr w:rsidR="0090612E" w:rsidRPr="00F36BBF" w:rsidTr="0090612E">
        <w:tc>
          <w:tcPr>
            <w:tcW w:w="9630" w:type="dxa"/>
          </w:tcPr>
          <w:p w:rsidR="0090612E" w:rsidRPr="00164230" w:rsidRDefault="00164230" w:rsidP="00164230">
            <w:pPr>
              <w:ind w:firstLine="702"/>
              <w:rPr>
                <w:rFonts w:ascii="Times New Roman" w:eastAsia="Times New Roman" w:hAnsi="Times New Roman" w:cs="Times New Roman"/>
                <w:sz w:val="24"/>
                <w:szCs w:val="24"/>
              </w:rPr>
            </w:pPr>
            <w:r w:rsidRPr="00F36BBF">
              <w:rPr>
                <w:rFonts w:ascii="Times New Roman" w:eastAsia="Times New Roman" w:hAnsi="Times New Roman" w:cs="Times New Roman"/>
                <w:spacing w:val="1"/>
                <w:sz w:val="24"/>
                <w:szCs w:val="24"/>
              </w:rPr>
              <w:t>P</w:t>
            </w:r>
            <w:r w:rsidRPr="00F36BBF">
              <w:rPr>
                <w:rFonts w:ascii="Times New Roman" w:eastAsia="Times New Roman" w:hAnsi="Times New Roman" w:cs="Times New Roman"/>
                <w:sz w:val="24"/>
                <w:szCs w:val="24"/>
              </w:rPr>
              <w:t>r</w:t>
            </w:r>
            <w:r w:rsidRPr="00F36BBF">
              <w:rPr>
                <w:rFonts w:ascii="Times New Roman" w:eastAsia="Times New Roman" w:hAnsi="Times New Roman" w:cs="Times New Roman"/>
                <w:spacing w:val="-2"/>
                <w:sz w:val="24"/>
                <w:szCs w:val="24"/>
              </w:rPr>
              <w:t>e</w:t>
            </w:r>
            <w:r w:rsidRPr="00F36BBF">
              <w:rPr>
                <w:rFonts w:ascii="Times New Roman" w:eastAsia="Times New Roman" w:hAnsi="Times New Roman" w:cs="Times New Roman"/>
                <w:spacing w:val="-1"/>
                <w:sz w:val="24"/>
                <w:szCs w:val="24"/>
              </w:rPr>
              <w:t>ze</w:t>
            </w:r>
            <w:r w:rsidRPr="00F36BBF">
              <w:rPr>
                <w:rFonts w:ascii="Times New Roman" w:eastAsia="Times New Roman" w:hAnsi="Times New Roman" w:cs="Times New Roman"/>
                <w:sz w:val="24"/>
                <w:szCs w:val="24"/>
              </w:rPr>
              <w:t>ntul</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proi</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z w:val="24"/>
                <w:szCs w:val="24"/>
              </w:rPr>
              <w:t xml:space="preserve">nu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re</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pacing w:val="3"/>
                <w:sz w:val="24"/>
                <w:szCs w:val="24"/>
              </w:rPr>
              <w:t>i</w:t>
            </w:r>
            <w:r w:rsidRPr="00F36BBF">
              <w:rPr>
                <w:rFonts w:ascii="Times New Roman" w:eastAsia="Times New Roman" w:hAnsi="Times New Roman" w:cs="Times New Roman"/>
                <w:sz w:val="24"/>
                <w:szCs w:val="24"/>
              </w:rPr>
              <w:t>mpa</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 xml:space="preserve">semnificativ </w:t>
            </w:r>
            <w:r w:rsidRPr="00F36BBF">
              <w:rPr>
                <w:rFonts w:ascii="Times New Roman" w:eastAsia="Times New Roman" w:hAnsi="Times New Roman" w:cs="Times New Roman"/>
                <w:sz w:val="24"/>
                <w:szCs w:val="24"/>
              </w:rPr>
              <w:t>asup</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z w:val="24"/>
                <w:szCs w:val="24"/>
              </w:rPr>
              <w:t xml:space="preserve">a </w:t>
            </w:r>
            <w:r w:rsidRPr="00F36BBF">
              <w:rPr>
                <w:rFonts w:ascii="Times New Roman" w:eastAsia="Times New Roman" w:hAnsi="Times New Roman" w:cs="Times New Roman"/>
                <w:spacing w:val="2"/>
                <w:sz w:val="24"/>
                <w:szCs w:val="24"/>
              </w:rPr>
              <w:t>s</w:t>
            </w:r>
            <w:r w:rsidRPr="00F36BBF">
              <w:rPr>
                <w:rFonts w:ascii="Times New Roman" w:eastAsia="Times New Roman" w:hAnsi="Times New Roman" w:cs="Times New Roman"/>
                <w:spacing w:val="-1"/>
                <w:sz w:val="24"/>
                <w:szCs w:val="24"/>
              </w:rPr>
              <w:t>ec</w:t>
            </w:r>
            <w:r w:rsidRPr="00F36BBF">
              <w:rPr>
                <w:rFonts w:ascii="Times New Roman" w:eastAsia="Times New Roman" w:hAnsi="Times New Roman" w:cs="Times New Roman"/>
                <w:spacing w:val="3"/>
                <w:sz w:val="24"/>
                <w:szCs w:val="24"/>
              </w:rPr>
              <w:t>t</w:t>
            </w:r>
            <w:r w:rsidRPr="00F36BBF">
              <w:rPr>
                <w:rFonts w:ascii="Times New Roman" w:eastAsia="Times New Roman" w:hAnsi="Times New Roman" w:cs="Times New Roman"/>
                <w:sz w:val="24"/>
                <w:szCs w:val="24"/>
              </w:rPr>
              <w:t>orului</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publ</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c.</w:t>
            </w:r>
          </w:p>
        </w:tc>
      </w:tr>
      <w:tr w:rsidR="0090612E" w:rsidRPr="00F36BBF" w:rsidTr="0090612E">
        <w:tc>
          <w:tcPr>
            <w:tcW w:w="9630" w:type="dxa"/>
          </w:tcPr>
          <w:p w:rsidR="0090612E" w:rsidRPr="00F36BBF" w:rsidRDefault="00A72467" w:rsidP="00F36BBF">
            <w:pPr>
              <w:ind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4.2. </w:t>
            </w:r>
            <w:r w:rsidRPr="00F36BBF">
              <w:rPr>
                <w:rFonts w:ascii="Times New Roman" w:eastAsia="Times New Roman" w:hAnsi="Times New Roman" w:cs="Times New Roman"/>
                <w:spacing w:val="-3"/>
                <w:sz w:val="24"/>
                <w:szCs w:val="24"/>
              </w:rPr>
              <w:t>I</w:t>
            </w:r>
            <w:r w:rsidRPr="00F36BBF">
              <w:rPr>
                <w:rFonts w:ascii="Times New Roman" w:eastAsia="Times New Roman" w:hAnsi="Times New Roman" w:cs="Times New Roman"/>
                <w:sz w:val="24"/>
                <w:szCs w:val="24"/>
              </w:rPr>
              <w:t>mp</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tul</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z w:val="24"/>
                <w:szCs w:val="24"/>
              </w:rPr>
              <w:t>fin</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n</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pacing w:val="3"/>
                <w:sz w:val="24"/>
                <w:szCs w:val="24"/>
              </w:rPr>
              <w:t>i</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 și</w:t>
            </w:r>
            <w:r w:rsidRPr="00F36BBF">
              <w:rPr>
                <w:rFonts w:ascii="Times New Roman" w:eastAsia="Times New Roman" w:hAnsi="Times New Roman" w:cs="Times New Roman"/>
                <w:spacing w:val="3"/>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rgum</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nta</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a</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osturi</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z w:val="24"/>
                <w:szCs w:val="24"/>
              </w:rPr>
              <w:t xml:space="preserve">or </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st</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mative</w:t>
            </w:r>
          </w:p>
        </w:tc>
      </w:tr>
      <w:tr w:rsidR="0090612E" w:rsidRPr="00F36BBF" w:rsidTr="0090612E">
        <w:tc>
          <w:tcPr>
            <w:tcW w:w="9630" w:type="dxa"/>
          </w:tcPr>
          <w:p w:rsidR="00105034" w:rsidRPr="00105034" w:rsidRDefault="00105034" w:rsidP="00105034">
            <w:pPr>
              <w:pBdr>
                <w:top w:val="none" w:sz="4" w:space="0" w:color="000000"/>
                <w:left w:val="none" w:sz="4" w:space="0" w:color="000000"/>
                <w:bottom w:val="none" w:sz="4" w:space="0" w:color="000000"/>
                <w:right w:val="none" w:sz="4" w:space="0" w:color="000000"/>
              </w:pBdr>
              <w:ind w:firstLine="702"/>
              <w:jc w:val="both"/>
              <w:rPr>
                <w:rFonts w:ascii="Times New Roman" w:eastAsia="Times New Roman" w:hAnsi="Times New Roman" w:cs="Times New Roman"/>
                <w:sz w:val="24"/>
                <w:szCs w:val="24"/>
              </w:rPr>
            </w:pPr>
            <w:r w:rsidRPr="00105034">
              <w:rPr>
                <w:rFonts w:ascii="Times New Roman" w:eastAsia="Times New Roman" w:hAnsi="Times New Roman" w:cs="Times New Roman"/>
                <w:sz w:val="24"/>
                <w:szCs w:val="24"/>
              </w:rPr>
              <w:t xml:space="preserve">Cheltuielile de finanțare pentru organizarea consultărilor publice sunt incluse în costul elaborării documentației respective. </w:t>
            </w:r>
          </w:p>
          <w:p w:rsidR="00105034" w:rsidRDefault="00105034" w:rsidP="00105034">
            <w:pPr>
              <w:ind w:firstLine="702"/>
              <w:jc w:val="both"/>
              <w:rPr>
                <w:rFonts w:ascii="Times New Roman" w:eastAsia="Times New Roman" w:hAnsi="Times New Roman" w:cs="Times New Roman"/>
                <w:sz w:val="24"/>
                <w:szCs w:val="24"/>
              </w:rPr>
            </w:pPr>
            <w:r w:rsidRPr="00105034">
              <w:rPr>
                <w:rFonts w:ascii="Times New Roman" w:eastAsia="Times New Roman" w:hAnsi="Times New Roman" w:cs="Times New Roman"/>
                <w:sz w:val="24"/>
                <w:szCs w:val="24"/>
              </w:rPr>
              <w:t>Costul pentru finanțarea lucrărilor se stabilesc în tema-program , elaborată de proiectant și aprobată de beneficiar, conform documentul normativ în construcție NCM B.01.02:2016 „Instrucțiuni privind conținutul, principiile metodologice de elaborare, avizare și aprobare a documentației de urbanism și amenajare a teritoriului”</w:t>
            </w:r>
          </w:p>
          <w:p w:rsidR="00A416BC" w:rsidRDefault="00164230" w:rsidP="00A416BC">
            <w:pPr>
              <w:ind w:firstLine="702"/>
              <w:jc w:val="both"/>
              <w:rPr>
                <w:rFonts w:ascii="Times New Roman" w:eastAsia="Times New Roman" w:hAnsi="Times New Roman" w:cs="Times New Roman"/>
                <w:sz w:val="24"/>
                <w:szCs w:val="24"/>
              </w:rPr>
            </w:pPr>
            <w:r w:rsidRPr="00164230">
              <w:rPr>
                <w:rFonts w:ascii="Times New Roman" w:eastAsia="Times New Roman" w:hAnsi="Times New Roman" w:cs="Times New Roman"/>
                <w:sz w:val="24"/>
                <w:szCs w:val="24"/>
              </w:rPr>
              <w:t>Implementarea acestor măsuri poate conduce la alocarea unor resurse suplimentare pentru autoritățile responsabile. În același timp, măsurile prevăzute ar putea contribui la sporirea transparenței și la creșterea încrederii cetățenilor în instituțiile publice, prin facilitarea unei implicări mai largi și mai informate în procesul decizional. Măsurile propuse ar putea conferi autorităților publice instrumente sporite pentru protejarea și</w:t>
            </w:r>
            <w:r>
              <w:rPr>
                <w:rFonts w:ascii="Times New Roman" w:eastAsia="Times New Roman" w:hAnsi="Times New Roman" w:cs="Times New Roman"/>
                <w:sz w:val="24"/>
                <w:szCs w:val="24"/>
              </w:rPr>
              <w:t xml:space="preserve"> promovarea interesului public</w:t>
            </w:r>
            <w:r w:rsidR="00A416BC">
              <w:rPr>
                <w:rFonts w:ascii="Times New Roman" w:eastAsia="Times New Roman" w:hAnsi="Times New Roman" w:cs="Times New Roman"/>
                <w:sz w:val="24"/>
                <w:szCs w:val="24"/>
              </w:rPr>
              <w:t>.</w:t>
            </w:r>
          </w:p>
          <w:p w:rsidR="00A416BC" w:rsidRPr="00A416BC" w:rsidRDefault="00A416BC" w:rsidP="00105034">
            <w:pPr>
              <w:ind w:firstLine="702"/>
              <w:jc w:val="both"/>
              <w:rPr>
                <w:rFonts w:ascii="Times New Roman" w:eastAsia="Times New Roman" w:hAnsi="Times New Roman" w:cs="Times New Roman"/>
                <w:sz w:val="24"/>
                <w:szCs w:val="24"/>
                <w:lang w:val="fr-FR"/>
              </w:rPr>
            </w:pPr>
            <w:r w:rsidRPr="00105034">
              <w:rPr>
                <w:rFonts w:ascii="Times New Roman" w:eastAsia="Times New Roman" w:hAnsi="Times New Roman" w:cs="Times New Roman"/>
                <w:sz w:val="24"/>
                <w:szCs w:val="24"/>
                <w:lang w:val="ro-MD"/>
              </w:rPr>
              <w:t>Estimarea exactă a costurilor suplimentare pentru autoritățile responsabile este dificilă, întrucât acestea variază în funcție de tipul documentației și de complexitatea unității administrativ-teritoriale. Conform estimărilor actuale, efortul suplimentar necesar variază între 50 de ore pentru localitățile cu populație redusă și 300 de ore pentru elaborarea PATN, PATRD sau PUG în municipiile Chișinău și Bălți. În prezent, consultarea publică este adesea formală, fără a genera o valoare adăugată reală în calitatea documentației elaborate, ceea ce subliniază necesitatea eficientizării acestui proces.</w:t>
            </w:r>
          </w:p>
        </w:tc>
      </w:tr>
      <w:tr w:rsidR="00A72467" w:rsidRPr="00F36BBF" w:rsidTr="0090612E">
        <w:tc>
          <w:tcPr>
            <w:tcW w:w="9630" w:type="dxa"/>
          </w:tcPr>
          <w:p w:rsidR="00A72467" w:rsidRPr="00F36BBF" w:rsidRDefault="00A72467" w:rsidP="00F36BBF">
            <w:pPr>
              <w:ind w:firstLine="702"/>
              <w:rPr>
                <w:rFonts w:ascii="Times New Roman" w:eastAsia="Times New Roman" w:hAnsi="Times New Roman" w:cs="Times New Roman"/>
                <w:spacing w:val="1"/>
                <w:sz w:val="24"/>
                <w:szCs w:val="24"/>
              </w:rPr>
            </w:pPr>
            <w:r w:rsidRPr="00F36BBF">
              <w:rPr>
                <w:rFonts w:ascii="Times New Roman" w:eastAsia="Times New Roman" w:hAnsi="Times New Roman" w:cs="Times New Roman"/>
                <w:sz w:val="24"/>
                <w:szCs w:val="24"/>
              </w:rPr>
              <w:t xml:space="preserve">4.3. </w:t>
            </w:r>
            <w:r w:rsidRPr="00F36BBF">
              <w:rPr>
                <w:rFonts w:ascii="Times New Roman" w:eastAsia="Times New Roman" w:hAnsi="Times New Roman" w:cs="Times New Roman"/>
                <w:spacing w:val="-3"/>
                <w:sz w:val="24"/>
                <w:szCs w:val="24"/>
              </w:rPr>
              <w:t>I</w:t>
            </w:r>
            <w:r w:rsidRPr="00F36BBF">
              <w:rPr>
                <w:rFonts w:ascii="Times New Roman" w:eastAsia="Times New Roman" w:hAnsi="Times New Roman" w:cs="Times New Roman"/>
                <w:sz w:val="24"/>
                <w:szCs w:val="24"/>
              </w:rPr>
              <w:t>mp</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tul</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supra</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2"/>
                <w:sz w:val="24"/>
                <w:szCs w:val="24"/>
              </w:rPr>
              <w:t>s</w:t>
            </w:r>
            <w:r w:rsidRPr="00F36BBF">
              <w:rPr>
                <w:rFonts w:ascii="Times New Roman" w:eastAsia="Times New Roman" w:hAnsi="Times New Roman" w:cs="Times New Roman"/>
                <w:spacing w:val="-1"/>
                <w:sz w:val="24"/>
                <w:szCs w:val="24"/>
              </w:rPr>
              <w:t>ec</w:t>
            </w:r>
            <w:r w:rsidRPr="00F36BBF">
              <w:rPr>
                <w:rFonts w:ascii="Times New Roman" w:eastAsia="Times New Roman" w:hAnsi="Times New Roman" w:cs="Times New Roman"/>
                <w:spacing w:val="3"/>
                <w:sz w:val="24"/>
                <w:szCs w:val="24"/>
              </w:rPr>
              <w:t>t</w:t>
            </w:r>
            <w:r w:rsidRPr="00F36BBF">
              <w:rPr>
                <w:rFonts w:ascii="Times New Roman" w:eastAsia="Times New Roman" w:hAnsi="Times New Roman" w:cs="Times New Roman"/>
                <w:sz w:val="24"/>
                <w:szCs w:val="24"/>
              </w:rPr>
              <w:t>orului</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priv</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 xml:space="preserve">t  </w:t>
            </w:r>
          </w:p>
        </w:tc>
      </w:tr>
      <w:tr w:rsidR="00A72467" w:rsidRPr="00F36BBF" w:rsidTr="0090612E">
        <w:tc>
          <w:tcPr>
            <w:tcW w:w="9630" w:type="dxa"/>
          </w:tcPr>
          <w:p w:rsidR="00724D41" w:rsidRPr="00F36BBF" w:rsidRDefault="00724D41" w:rsidP="00103145">
            <w:pPr>
              <w:ind w:firstLine="702"/>
              <w:jc w:val="both"/>
              <w:rPr>
                <w:rFonts w:ascii="Times New Roman" w:eastAsia="Times New Roman" w:hAnsi="Times New Roman" w:cs="Times New Roman"/>
                <w:spacing w:val="1"/>
                <w:sz w:val="24"/>
                <w:szCs w:val="24"/>
              </w:rPr>
            </w:pPr>
            <w:r w:rsidRPr="00724D41">
              <w:rPr>
                <w:rFonts w:ascii="Times New Roman" w:eastAsia="Times New Roman" w:hAnsi="Times New Roman" w:cs="Times New Roman"/>
                <w:sz w:val="24"/>
                <w:szCs w:val="24"/>
              </w:rPr>
              <w:t xml:space="preserve">Prevederile prezentului </w:t>
            </w:r>
            <w:r w:rsidR="00CE5BD4">
              <w:rPr>
                <w:rFonts w:ascii="Times New Roman" w:eastAsia="Times New Roman" w:hAnsi="Times New Roman" w:cs="Times New Roman"/>
                <w:sz w:val="24"/>
                <w:szCs w:val="24"/>
              </w:rPr>
              <w:t>proiect</w:t>
            </w:r>
            <w:r w:rsidR="00CE5BD4" w:rsidRPr="00724D41">
              <w:rPr>
                <w:rFonts w:ascii="Times New Roman" w:eastAsia="Times New Roman" w:hAnsi="Times New Roman" w:cs="Times New Roman"/>
                <w:sz w:val="24"/>
                <w:szCs w:val="24"/>
              </w:rPr>
              <w:t xml:space="preserve"> </w:t>
            </w:r>
            <w:r w:rsidRPr="00724D41">
              <w:rPr>
                <w:rFonts w:ascii="Times New Roman" w:eastAsia="Times New Roman" w:hAnsi="Times New Roman" w:cs="Times New Roman"/>
                <w:sz w:val="24"/>
                <w:szCs w:val="24"/>
              </w:rPr>
              <w:t xml:space="preserve">instituie un cadru procedural care permite implicarea  sectorului privat în consultările publice privind elaborarea documentației </w:t>
            </w:r>
            <w:r w:rsidR="007D2F8D">
              <w:rPr>
                <w:rFonts w:ascii="Times New Roman" w:eastAsia="Times New Roman" w:hAnsi="Times New Roman" w:cs="Times New Roman"/>
                <w:sz w:val="24"/>
                <w:szCs w:val="24"/>
              </w:rPr>
              <w:t xml:space="preserve">de amenajare a teritoriului </w:t>
            </w:r>
            <w:r w:rsidR="00CB2FCF">
              <w:rPr>
                <w:rFonts w:ascii="Times New Roman" w:eastAsia="Times New Roman" w:hAnsi="Times New Roman" w:cs="Times New Roman"/>
                <w:sz w:val="24"/>
                <w:szCs w:val="24"/>
              </w:rPr>
              <w:t>ș</w:t>
            </w:r>
            <w:r w:rsidR="007D2F8D">
              <w:rPr>
                <w:rFonts w:ascii="Times New Roman" w:eastAsia="Times New Roman" w:hAnsi="Times New Roman" w:cs="Times New Roman"/>
                <w:sz w:val="24"/>
                <w:szCs w:val="24"/>
              </w:rPr>
              <w:t xml:space="preserve">i </w:t>
            </w:r>
            <w:r w:rsidR="00CE5BD4">
              <w:rPr>
                <w:rFonts w:ascii="Times New Roman" w:eastAsia="Times New Roman" w:hAnsi="Times New Roman" w:cs="Times New Roman"/>
                <w:sz w:val="24"/>
                <w:szCs w:val="24"/>
              </w:rPr>
              <w:t xml:space="preserve">de </w:t>
            </w:r>
            <w:r w:rsidR="007D2F8D">
              <w:rPr>
                <w:rFonts w:ascii="Times New Roman" w:eastAsia="Times New Roman" w:hAnsi="Times New Roman" w:cs="Times New Roman"/>
                <w:sz w:val="24"/>
                <w:szCs w:val="24"/>
              </w:rPr>
              <w:t>urbanism</w:t>
            </w:r>
            <w:r w:rsidRPr="00724D41">
              <w:rPr>
                <w:rFonts w:ascii="Times New Roman" w:eastAsia="Times New Roman" w:hAnsi="Times New Roman" w:cs="Times New Roman"/>
                <w:sz w:val="24"/>
                <w:szCs w:val="24"/>
              </w:rPr>
              <w:t>. În acest mod, întreprinderile pot comunica necesitățile operaționale și se pot informa as</w:t>
            </w:r>
            <w:r w:rsidR="007D2F8D">
              <w:rPr>
                <w:rFonts w:ascii="Times New Roman" w:eastAsia="Times New Roman" w:hAnsi="Times New Roman" w:cs="Times New Roman"/>
                <w:sz w:val="24"/>
                <w:szCs w:val="24"/>
              </w:rPr>
              <w:t>upra strategiilor de dezvoltare</w:t>
            </w:r>
            <w:r w:rsidRPr="00724D41">
              <w:rPr>
                <w:rFonts w:ascii="Times New Roman" w:eastAsia="Times New Roman" w:hAnsi="Times New Roman" w:cs="Times New Roman"/>
                <w:sz w:val="24"/>
                <w:szCs w:val="24"/>
              </w:rPr>
              <w:t>. Un dialog eficient între autoritățile publice și mediul de afaceri contribuie la sporirea transparenței, la reducerea incertitudinilor și la crearea unui mediu economic predictibil</w:t>
            </w:r>
            <w:r w:rsidR="00CB2FCF">
              <w:rPr>
                <w:rFonts w:ascii="Times New Roman" w:eastAsia="Times New Roman" w:hAnsi="Times New Roman" w:cs="Times New Roman"/>
                <w:sz w:val="24"/>
                <w:szCs w:val="24"/>
              </w:rPr>
              <w:t>.</w:t>
            </w:r>
          </w:p>
        </w:tc>
      </w:tr>
      <w:tr w:rsidR="00A72467" w:rsidRPr="00F36BBF" w:rsidTr="0090612E">
        <w:tc>
          <w:tcPr>
            <w:tcW w:w="9630" w:type="dxa"/>
          </w:tcPr>
          <w:p w:rsidR="00A72467" w:rsidRPr="00F36BBF" w:rsidRDefault="00A72467" w:rsidP="00F36BBF">
            <w:pPr>
              <w:ind w:firstLine="702"/>
              <w:rPr>
                <w:rFonts w:ascii="Times New Roman" w:eastAsia="Times New Roman" w:hAnsi="Times New Roman" w:cs="Times New Roman"/>
                <w:spacing w:val="1"/>
                <w:sz w:val="24"/>
                <w:szCs w:val="24"/>
              </w:rPr>
            </w:pPr>
            <w:r w:rsidRPr="00F36BBF">
              <w:rPr>
                <w:rFonts w:ascii="Times New Roman" w:eastAsia="Times New Roman" w:hAnsi="Times New Roman" w:cs="Times New Roman"/>
                <w:sz w:val="24"/>
                <w:szCs w:val="24"/>
              </w:rPr>
              <w:t xml:space="preserve">4.4. </w:t>
            </w:r>
            <w:r w:rsidRPr="00F36BBF">
              <w:rPr>
                <w:rFonts w:ascii="Times New Roman" w:eastAsia="Times New Roman" w:hAnsi="Times New Roman" w:cs="Times New Roman"/>
                <w:spacing w:val="-3"/>
                <w:sz w:val="24"/>
                <w:szCs w:val="24"/>
              </w:rPr>
              <w:t>I</w:t>
            </w:r>
            <w:r w:rsidRPr="00F36BBF">
              <w:rPr>
                <w:rFonts w:ascii="Times New Roman" w:eastAsia="Times New Roman" w:hAnsi="Times New Roman" w:cs="Times New Roman"/>
                <w:sz w:val="24"/>
                <w:szCs w:val="24"/>
              </w:rPr>
              <w:t>mp</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tul</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z w:val="24"/>
                <w:szCs w:val="24"/>
              </w:rPr>
              <w:t>so</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ial</w:t>
            </w:r>
          </w:p>
        </w:tc>
      </w:tr>
      <w:tr w:rsidR="00CB2677" w:rsidRPr="00F36BBF" w:rsidTr="0090612E">
        <w:tc>
          <w:tcPr>
            <w:tcW w:w="9630" w:type="dxa"/>
          </w:tcPr>
          <w:p w:rsidR="00F36BBF" w:rsidRDefault="00CB2677" w:rsidP="00724D41">
            <w:pPr>
              <w:widowControl/>
              <w:ind w:firstLine="702"/>
              <w:jc w:val="both"/>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 </w:t>
            </w:r>
            <w:r w:rsidRPr="00CB2677">
              <w:rPr>
                <w:rFonts w:ascii="Times New Roman" w:eastAsia="Times New Roman" w:hAnsi="Times New Roman" w:cs="Times New Roman"/>
                <w:sz w:val="24"/>
                <w:szCs w:val="24"/>
              </w:rPr>
              <w:t xml:space="preserve">Din perspectivă socială, implicarea activă a cetățenilor în procesul </w:t>
            </w:r>
            <w:r w:rsidR="00F36BBF">
              <w:rPr>
                <w:rFonts w:ascii="Times New Roman" w:eastAsia="Times New Roman" w:hAnsi="Times New Roman" w:cs="Times New Roman"/>
                <w:sz w:val="24"/>
                <w:szCs w:val="24"/>
              </w:rPr>
              <w:t>elaborăr</w:t>
            </w:r>
            <w:r w:rsidR="00EA2685">
              <w:rPr>
                <w:rFonts w:ascii="Times New Roman" w:eastAsia="Times New Roman" w:hAnsi="Times New Roman" w:cs="Times New Roman"/>
                <w:sz w:val="24"/>
                <w:szCs w:val="24"/>
              </w:rPr>
              <w:t xml:space="preserve">ii documentației de amenajare a teritoriului și </w:t>
            </w:r>
            <w:r w:rsidR="00CE5BD4">
              <w:rPr>
                <w:rFonts w:ascii="Times New Roman" w:eastAsia="Times New Roman" w:hAnsi="Times New Roman" w:cs="Times New Roman"/>
                <w:sz w:val="24"/>
                <w:szCs w:val="24"/>
              </w:rPr>
              <w:t xml:space="preserve">de </w:t>
            </w:r>
            <w:r w:rsidR="00EA2685">
              <w:rPr>
                <w:rFonts w:ascii="Times New Roman" w:eastAsia="Times New Roman" w:hAnsi="Times New Roman" w:cs="Times New Roman"/>
                <w:sz w:val="24"/>
                <w:szCs w:val="24"/>
              </w:rPr>
              <w:t xml:space="preserve">urbanism </w:t>
            </w:r>
            <w:r w:rsidRPr="00CB2677">
              <w:rPr>
                <w:rFonts w:ascii="Times New Roman" w:eastAsia="Times New Roman" w:hAnsi="Times New Roman" w:cs="Times New Roman"/>
                <w:sz w:val="24"/>
                <w:szCs w:val="24"/>
              </w:rPr>
              <w:t>poate contribui la întărirea identității locale și la consolidarea coeziunii comunitare, favorizând o mai bună înțelegere și apre</w:t>
            </w:r>
            <w:r w:rsidR="00CB2FCF">
              <w:rPr>
                <w:rFonts w:ascii="Times New Roman" w:eastAsia="Times New Roman" w:hAnsi="Times New Roman" w:cs="Times New Roman"/>
                <w:sz w:val="24"/>
                <w:szCs w:val="24"/>
              </w:rPr>
              <w:t>ciere a proceselor democratice.</w:t>
            </w:r>
          </w:p>
          <w:p w:rsidR="00CB2677" w:rsidRPr="00F36BBF" w:rsidRDefault="00CB2677" w:rsidP="00724D41">
            <w:pPr>
              <w:widowControl/>
              <w:ind w:firstLine="702"/>
              <w:jc w:val="both"/>
              <w:rPr>
                <w:rFonts w:ascii="Times New Roman" w:eastAsia="Times New Roman" w:hAnsi="Times New Roman" w:cs="Times New Roman"/>
                <w:sz w:val="24"/>
                <w:szCs w:val="24"/>
              </w:rPr>
            </w:pPr>
            <w:r w:rsidRPr="00CB2677">
              <w:rPr>
                <w:rFonts w:ascii="Times New Roman" w:eastAsia="Times New Roman" w:hAnsi="Times New Roman" w:cs="Times New Roman"/>
                <w:sz w:val="24"/>
                <w:szCs w:val="24"/>
              </w:rPr>
              <w:t>În plus, participarea extinsă, obținută prin diversificarea metodelor de consultare (ședințe publice, chestionare, interviuri, focus grupuri etc.), poate spori încrederea în instituțiile publice și crea un cadru de dialog construct</w:t>
            </w:r>
            <w:r w:rsidRPr="00F36BBF">
              <w:rPr>
                <w:rFonts w:ascii="Times New Roman" w:eastAsia="Times New Roman" w:hAnsi="Times New Roman" w:cs="Times New Roman"/>
                <w:sz w:val="24"/>
                <w:szCs w:val="24"/>
              </w:rPr>
              <w:t>iv între autorități și cetățeni.</w:t>
            </w:r>
          </w:p>
        </w:tc>
      </w:tr>
      <w:tr w:rsidR="00A72467" w:rsidRPr="00F36BBF" w:rsidTr="0090612E">
        <w:tc>
          <w:tcPr>
            <w:tcW w:w="9630" w:type="dxa"/>
          </w:tcPr>
          <w:p w:rsidR="00A72467" w:rsidRPr="00F36BBF" w:rsidRDefault="00A72467" w:rsidP="00F36BBF">
            <w:pPr>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4.4.1. </w:t>
            </w:r>
            <w:r w:rsidRPr="00F36BBF">
              <w:rPr>
                <w:rFonts w:ascii="Times New Roman" w:eastAsia="Times New Roman" w:hAnsi="Times New Roman" w:cs="Times New Roman"/>
                <w:spacing w:val="-3"/>
                <w:sz w:val="24"/>
                <w:szCs w:val="24"/>
              </w:rPr>
              <w:t>I</w:t>
            </w:r>
            <w:r w:rsidRPr="00F36BBF">
              <w:rPr>
                <w:rFonts w:ascii="Times New Roman" w:eastAsia="Times New Roman" w:hAnsi="Times New Roman" w:cs="Times New Roman"/>
                <w:sz w:val="24"/>
                <w:szCs w:val="24"/>
              </w:rPr>
              <w:t>m</w:t>
            </w:r>
            <w:r w:rsidRPr="00F36BBF">
              <w:rPr>
                <w:rFonts w:ascii="Times New Roman" w:eastAsia="Times New Roman" w:hAnsi="Times New Roman" w:cs="Times New Roman"/>
                <w:spacing w:val="3"/>
                <w:sz w:val="24"/>
                <w:szCs w:val="24"/>
              </w:rPr>
              <w:t>p</w:t>
            </w:r>
            <w:r w:rsidRPr="00F36BBF">
              <w:rPr>
                <w:rFonts w:ascii="Times New Roman" w:eastAsia="Times New Roman" w:hAnsi="Times New Roman" w:cs="Times New Roman"/>
                <w:spacing w:val="-1"/>
                <w:sz w:val="24"/>
                <w:szCs w:val="24"/>
              </w:rPr>
              <w:t>ac</w:t>
            </w:r>
            <w:r w:rsidRPr="00F36BBF">
              <w:rPr>
                <w:rFonts w:ascii="Times New Roman" w:eastAsia="Times New Roman" w:hAnsi="Times New Roman" w:cs="Times New Roman"/>
                <w:sz w:val="24"/>
                <w:szCs w:val="24"/>
              </w:rPr>
              <w:t>tul</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supra</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2"/>
                <w:sz w:val="24"/>
                <w:szCs w:val="24"/>
              </w:rPr>
              <w:t>d</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telor</w:t>
            </w:r>
            <w:r w:rsidRPr="00F36BBF">
              <w:rPr>
                <w:rFonts w:ascii="Times New Roman" w:eastAsia="Times New Roman" w:hAnsi="Times New Roman" w:cs="Times New Roman"/>
                <w:spacing w:val="-1"/>
                <w:sz w:val="24"/>
                <w:szCs w:val="24"/>
              </w:rPr>
              <w:t xml:space="preserve"> c</w:t>
            </w:r>
            <w:r w:rsidRPr="00F36BBF">
              <w:rPr>
                <w:rFonts w:ascii="Times New Roman" w:eastAsia="Times New Roman" w:hAnsi="Times New Roman" w:cs="Times New Roman"/>
                <w:sz w:val="24"/>
                <w:szCs w:val="24"/>
              </w:rPr>
              <w:t xml:space="preserve">u </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ra</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ter</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p</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rson</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l</w:t>
            </w:r>
          </w:p>
        </w:tc>
      </w:tr>
      <w:tr w:rsidR="00A72467" w:rsidRPr="00F36BBF" w:rsidTr="0090612E">
        <w:tc>
          <w:tcPr>
            <w:tcW w:w="9630" w:type="dxa"/>
          </w:tcPr>
          <w:p w:rsidR="00A72467" w:rsidRPr="00F36BBF" w:rsidRDefault="00CB2677" w:rsidP="008148C4">
            <w:pPr>
              <w:spacing w:line="274" w:lineRule="exact"/>
              <w:ind w:right="-20" w:firstLine="702"/>
              <w:jc w:val="both"/>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Procesul de consultare publică în cadrul studiilor sociologice implică colectarea de date cu caracter personal. </w:t>
            </w:r>
            <w:r w:rsidR="008148C4">
              <w:rPr>
                <w:rFonts w:ascii="Times New Roman" w:eastAsia="Times New Roman" w:hAnsi="Times New Roman" w:cs="Times New Roman"/>
                <w:sz w:val="24"/>
                <w:szCs w:val="24"/>
                <w:lang w:val="ro-MD"/>
              </w:rPr>
              <w:t xml:space="preserve">Măsurile de asigurare a securității datelor vor fi prelucrate </w:t>
            </w:r>
            <w:r w:rsidRPr="00F36BBF">
              <w:rPr>
                <w:rFonts w:ascii="Times New Roman" w:eastAsia="Times New Roman" w:hAnsi="Times New Roman" w:cs="Times New Roman"/>
                <w:sz w:val="24"/>
                <w:szCs w:val="24"/>
              </w:rPr>
              <w:t>în conformitate cu prevederile Legii nr. 1</w:t>
            </w:r>
            <w:r w:rsidR="004526ED">
              <w:rPr>
                <w:rFonts w:ascii="Times New Roman" w:eastAsia="Times New Roman" w:hAnsi="Times New Roman" w:cs="Times New Roman"/>
                <w:sz w:val="24"/>
                <w:szCs w:val="24"/>
              </w:rPr>
              <w:t>33</w:t>
            </w:r>
            <w:r w:rsidRPr="00F36BBF">
              <w:rPr>
                <w:rFonts w:ascii="Times New Roman" w:eastAsia="Times New Roman" w:hAnsi="Times New Roman" w:cs="Times New Roman"/>
                <w:sz w:val="24"/>
                <w:szCs w:val="24"/>
              </w:rPr>
              <w:t>/20</w:t>
            </w:r>
            <w:r w:rsidR="004526ED">
              <w:rPr>
                <w:rFonts w:ascii="Times New Roman" w:eastAsia="Times New Roman" w:hAnsi="Times New Roman" w:cs="Times New Roman"/>
                <w:sz w:val="24"/>
                <w:szCs w:val="24"/>
              </w:rPr>
              <w:t>11</w:t>
            </w:r>
            <w:r w:rsidR="00735ADA">
              <w:rPr>
                <w:rFonts w:ascii="Times New Roman" w:eastAsia="Times New Roman" w:hAnsi="Times New Roman" w:cs="Times New Roman"/>
                <w:sz w:val="24"/>
                <w:szCs w:val="24"/>
              </w:rPr>
              <w:t xml:space="preserve"> </w:t>
            </w:r>
            <w:r w:rsidR="00735ADA" w:rsidRPr="00735ADA">
              <w:rPr>
                <w:rFonts w:ascii="Times New Roman" w:eastAsia="Times New Roman" w:hAnsi="Times New Roman" w:cs="Times New Roman"/>
                <w:sz w:val="24"/>
                <w:szCs w:val="24"/>
              </w:rPr>
              <w:t>privind protecția datelor cu caracter personal</w:t>
            </w:r>
            <w:r w:rsidRPr="00F36BBF">
              <w:rPr>
                <w:rFonts w:ascii="Times New Roman" w:eastAsia="Times New Roman" w:hAnsi="Times New Roman" w:cs="Times New Roman"/>
                <w:sz w:val="24"/>
                <w:szCs w:val="24"/>
              </w:rPr>
              <w:t>.</w:t>
            </w:r>
          </w:p>
        </w:tc>
      </w:tr>
      <w:tr w:rsidR="00A72467" w:rsidRPr="00F36BBF" w:rsidTr="0090612E">
        <w:tc>
          <w:tcPr>
            <w:tcW w:w="9630" w:type="dxa"/>
          </w:tcPr>
          <w:p w:rsidR="00A72467" w:rsidRPr="00F36BBF" w:rsidRDefault="00A72467" w:rsidP="00F36BBF">
            <w:pPr>
              <w:spacing w:line="274" w:lineRule="exact"/>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4.4.2. </w:t>
            </w:r>
            <w:r w:rsidRPr="00F36BBF">
              <w:rPr>
                <w:rFonts w:ascii="Times New Roman" w:eastAsia="Times New Roman" w:hAnsi="Times New Roman" w:cs="Times New Roman"/>
                <w:spacing w:val="-3"/>
                <w:sz w:val="24"/>
                <w:szCs w:val="24"/>
              </w:rPr>
              <w:t>I</w:t>
            </w:r>
            <w:r w:rsidRPr="00F36BBF">
              <w:rPr>
                <w:rFonts w:ascii="Times New Roman" w:eastAsia="Times New Roman" w:hAnsi="Times New Roman" w:cs="Times New Roman"/>
                <w:sz w:val="24"/>
                <w:szCs w:val="24"/>
              </w:rPr>
              <w:t>m</w:t>
            </w:r>
            <w:r w:rsidRPr="00F36BBF">
              <w:rPr>
                <w:rFonts w:ascii="Times New Roman" w:eastAsia="Times New Roman" w:hAnsi="Times New Roman" w:cs="Times New Roman"/>
                <w:spacing w:val="3"/>
                <w:sz w:val="24"/>
                <w:szCs w:val="24"/>
              </w:rPr>
              <w:t>p</w:t>
            </w:r>
            <w:r w:rsidRPr="00F36BBF">
              <w:rPr>
                <w:rFonts w:ascii="Times New Roman" w:eastAsia="Times New Roman" w:hAnsi="Times New Roman" w:cs="Times New Roman"/>
                <w:spacing w:val="-1"/>
                <w:sz w:val="24"/>
                <w:szCs w:val="24"/>
              </w:rPr>
              <w:t>ac</w:t>
            </w:r>
            <w:r w:rsidRPr="00F36BBF">
              <w:rPr>
                <w:rFonts w:ascii="Times New Roman" w:eastAsia="Times New Roman" w:hAnsi="Times New Roman" w:cs="Times New Roman"/>
                <w:sz w:val="24"/>
                <w:szCs w:val="24"/>
              </w:rPr>
              <w:t>tul</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supra</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hi</w:t>
            </w:r>
            <w:r w:rsidRPr="00F36BBF">
              <w:rPr>
                <w:rFonts w:ascii="Times New Roman" w:eastAsia="Times New Roman" w:hAnsi="Times New Roman" w:cs="Times New Roman"/>
                <w:spacing w:val="1"/>
                <w:sz w:val="24"/>
                <w:szCs w:val="24"/>
              </w:rPr>
              <w:t>t</w:t>
            </w:r>
            <w:r w:rsidRPr="00F36BBF">
              <w:rPr>
                <w:rFonts w:ascii="Times New Roman" w:eastAsia="Times New Roman" w:hAnsi="Times New Roman" w:cs="Times New Roman"/>
                <w:spacing w:val="-1"/>
                <w:sz w:val="24"/>
                <w:szCs w:val="24"/>
              </w:rPr>
              <w:t>ă</w:t>
            </w:r>
            <w:r w:rsidRPr="00F36BBF">
              <w:rPr>
                <w:rFonts w:ascii="Times New Roman" w:eastAsia="Times New Roman" w:hAnsi="Times New Roman" w:cs="Times New Roman"/>
                <w:sz w:val="24"/>
                <w:szCs w:val="24"/>
              </w:rPr>
              <w:t>ț</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i și</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g</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l</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tății</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de</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g</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n</w:t>
            </w:r>
          </w:p>
        </w:tc>
      </w:tr>
      <w:tr w:rsidR="00A72467" w:rsidRPr="00F36BBF" w:rsidTr="0090612E">
        <w:tc>
          <w:tcPr>
            <w:tcW w:w="9630" w:type="dxa"/>
          </w:tcPr>
          <w:p w:rsidR="00A72467" w:rsidRPr="00F36BBF" w:rsidRDefault="00F36BBF" w:rsidP="00724D41">
            <w:pPr>
              <w:spacing w:before="1"/>
              <w:ind w:right="-20" w:firstLine="702"/>
              <w:jc w:val="both"/>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Reglementarea prevede măsuri pentru asigurarea incluziunii și reprezentativității în procesul de consultare publică, inclusiv din perspectiva echității și egalității de gen. Procedurile impuse solicită implicarea diverselor grupuri sociale și prevăd obligația ca entitățile responsabile să adopte metode care să garanteze participarea echilibrată a femeilor, bărbaților, persoanelor cu </w:t>
            </w:r>
            <w:r w:rsidRPr="00F36BBF">
              <w:rPr>
                <w:rFonts w:ascii="Times New Roman" w:eastAsia="Times New Roman" w:hAnsi="Times New Roman" w:cs="Times New Roman"/>
                <w:sz w:val="24"/>
                <w:szCs w:val="24"/>
              </w:rPr>
              <w:lastRenderedPageBreak/>
              <w:t>dezabilitați, diverselor categorii de vârsta si alte categorii sociale.</w:t>
            </w:r>
          </w:p>
        </w:tc>
      </w:tr>
      <w:tr w:rsidR="00A72467" w:rsidRPr="00F36BBF" w:rsidTr="0090612E">
        <w:tc>
          <w:tcPr>
            <w:tcW w:w="9630" w:type="dxa"/>
          </w:tcPr>
          <w:p w:rsidR="00A72467" w:rsidRPr="00F36BBF" w:rsidRDefault="00A72467" w:rsidP="00F36BBF">
            <w:pPr>
              <w:spacing w:line="274" w:lineRule="exact"/>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lastRenderedPageBreak/>
              <w:t xml:space="preserve">4.5. </w:t>
            </w:r>
            <w:r w:rsidRPr="00F36BBF">
              <w:rPr>
                <w:rFonts w:ascii="Times New Roman" w:eastAsia="Times New Roman" w:hAnsi="Times New Roman" w:cs="Times New Roman"/>
                <w:spacing w:val="-3"/>
                <w:sz w:val="24"/>
                <w:szCs w:val="24"/>
              </w:rPr>
              <w:t>I</w:t>
            </w:r>
            <w:r w:rsidRPr="00F36BBF">
              <w:rPr>
                <w:rFonts w:ascii="Times New Roman" w:eastAsia="Times New Roman" w:hAnsi="Times New Roman" w:cs="Times New Roman"/>
                <w:sz w:val="24"/>
                <w:szCs w:val="24"/>
              </w:rPr>
              <w:t>mp</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tul</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supra</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3"/>
                <w:sz w:val="24"/>
                <w:szCs w:val="24"/>
              </w:rPr>
              <w:t>m</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pacing w:val="2"/>
                <w:sz w:val="24"/>
                <w:szCs w:val="24"/>
              </w:rPr>
              <w:t>d</w:t>
            </w:r>
            <w:r w:rsidRPr="00F36BBF">
              <w:rPr>
                <w:rFonts w:ascii="Times New Roman" w:eastAsia="Times New Roman" w:hAnsi="Times New Roman" w:cs="Times New Roman"/>
                <w:sz w:val="24"/>
                <w:szCs w:val="24"/>
              </w:rPr>
              <w:t>iu</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z w:val="24"/>
                <w:szCs w:val="24"/>
              </w:rPr>
              <w:t>ui</w:t>
            </w:r>
          </w:p>
        </w:tc>
      </w:tr>
      <w:tr w:rsidR="00A72467" w:rsidRPr="00F36BBF" w:rsidTr="0090612E">
        <w:tc>
          <w:tcPr>
            <w:tcW w:w="9630" w:type="dxa"/>
          </w:tcPr>
          <w:p w:rsidR="00A72467" w:rsidRPr="00F36BBF" w:rsidRDefault="00A72467" w:rsidP="00F36BBF">
            <w:pPr>
              <w:spacing w:line="274" w:lineRule="exact"/>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spacing w:val="1"/>
                <w:sz w:val="24"/>
                <w:szCs w:val="24"/>
              </w:rPr>
              <w:t>P</w:t>
            </w:r>
            <w:r w:rsidRPr="00F36BBF">
              <w:rPr>
                <w:rFonts w:ascii="Times New Roman" w:eastAsia="Times New Roman" w:hAnsi="Times New Roman" w:cs="Times New Roman"/>
                <w:sz w:val="24"/>
                <w:szCs w:val="24"/>
              </w:rPr>
              <w:t>roi</w:t>
            </w:r>
            <w:r w:rsidRPr="00F36BBF">
              <w:rPr>
                <w:rFonts w:ascii="Times New Roman" w:eastAsia="Times New Roman" w:hAnsi="Times New Roman" w:cs="Times New Roman"/>
                <w:spacing w:val="-1"/>
                <w:sz w:val="24"/>
                <w:szCs w:val="24"/>
              </w:rPr>
              <w:t>ec</w:t>
            </w:r>
            <w:r w:rsidRPr="00F36BBF">
              <w:rPr>
                <w:rFonts w:ascii="Times New Roman" w:eastAsia="Times New Roman" w:hAnsi="Times New Roman" w:cs="Times New Roman"/>
                <w:sz w:val="24"/>
                <w:szCs w:val="24"/>
              </w:rPr>
              <w:t>tul</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z w:val="24"/>
                <w:szCs w:val="24"/>
              </w:rPr>
              <w:t xml:space="preserve">nu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re</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z w:val="24"/>
                <w:szCs w:val="24"/>
              </w:rPr>
              <w:t>i</w:t>
            </w:r>
            <w:r w:rsidRPr="00F36BBF">
              <w:rPr>
                <w:rFonts w:ascii="Times New Roman" w:eastAsia="Times New Roman" w:hAnsi="Times New Roman" w:cs="Times New Roman"/>
                <w:spacing w:val="1"/>
                <w:sz w:val="24"/>
                <w:szCs w:val="24"/>
              </w:rPr>
              <w:t>m</w:t>
            </w:r>
            <w:r w:rsidRPr="00F36BBF">
              <w:rPr>
                <w:rFonts w:ascii="Times New Roman" w:eastAsia="Times New Roman" w:hAnsi="Times New Roman" w:cs="Times New Roman"/>
                <w:sz w:val="24"/>
                <w:szCs w:val="24"/>
              </w:rPr>
              <w:t>p</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 xml:space="preserve">t </w:t>
            </w:r>
            <w:r w:rsidRPr="00F36BBF">
              <w:rPr>
                <w:rFonts w:ascii="Times New Roman" w:eastAsia="Times New Roman" w:hAnsi="Times New Roman" w:cs="Times New Roman"/>
                <w:spacing w:val="2"/>
                <w:sz w:val="24"/>
                <w:szCs w:val="24"/>
              </w:rPr>
              <w:t>a</w:t>
            </w:r>
            <w:r w:rsidRPr="00F36BBF">
              <w:rPr>
                <w:rFonts w:ascii="Times New Roman" w:eastAsia="Times New Roman" w:hAnsi="Times New Roman" w:cs="Times New Roman"/>
                <w:sz w:val="24"/>
                <w:szCs w:val="24"/>
              </w:rPr>
              <w:t>supra</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mediulu</w:t>
            </w:r>
            <w:r w:rsidRPr="00F36BBF">
              <w:rPr>
                <w:rFonts w:ascii="Times New Roman" w:eastAsia="Times New Roman" w:hAnsi="Times New Roman" w:cs="Times New Roman"/>
                <w:spacing w:val="2"/>
                <w:sz w:val="24"/>
                <w:szCs w:val="24"/>
              </w:rPr>
              <w:t>i</w:t>
            </w:r>
            <w:r w:rsidRPr="00F36BBF">
              <w:rPr>
                <w:rFonts w:ascii="Times New Roman" w:eastAsia="Times New Roman" w:hAnsi="Times New Roman" w:cs="Times New Roman"/>
                <w:sz w:val="24"/>
                <w:szCs w:val="24"/>
              </w:rPr>
              <w:t>.</w:t>
            </w:r>
          </w:p>
        </w:tc>
      </w:tr>
      <w:tr w:rsidR="00A72467" w:rsidRPr="00F36BBF" w:rsidTr="0090612E">
        <w:tc>
          <w:tcPr>
            <w:tcW w:w="9630" w:type="dxa"/>
          </w:tcPr>
          <w:p w:rsidR="00A72467" w:rsidRPr="00F36BBF" w:rsidRDefault="00A72467" w:rsidP="00F36BBF">
            <w:pPr>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4.6. Alte i</w:t>
            </w:r>
            <w:r w:rsidRPr="00F36BBF">
              <w:rPr>
                <w:rFonts w:ascii="Times New Roman" w:eastAsia="Times New Roman" w:hAnsi="Times New Roman" w:cs="Times New Roman"/>
                <w:spacing w:val="1"/>
                <w:sz w:val="24"/>
                <w:szCs w:val="24"/>
              </w:rPr>
              <w:t>m</w:t>
            </w:r>
            <w:r w:rsidRPr="00F36BBF">
              <w:rPr>
                <w:rFonts w:ascii="Times New Roman" w:eastAsia="Times New Roman" w:hAnsi="Times New Roman" w:cs="Times New Roman"/>
                <w:sz w:val="24"/>
                <w:szCs w:val="24"/>
              </w:rPr>
              <w:t>p</w:t>
            </w:r>
            <w:r w:rsidRPr="00F36BBF">
              <w:rPr>
                <w:rFonts w:ascii="Times New Roman" w:eastAsia="Times New Roman" w:hAnsi="Times New Roman" w:cs="Times New Roman"/>
                <w:spacing w:val="-1"/>
                <w:sz w:val="24"/>
                <w:szCs w:val="24"/>
              </w:rPr>
              <w:t>ac</w:t>
            </w:r>
            <w:r w:rsidRPr="00F36BBF">
              <w:rPr>
                <w:rFonts w:ascii="Times New Roman" w:eastAsia="Times New Roman" w:hAnsi="Times New Roman" w:cs="Times New Roman"/>
                <w:sz w:val="24"/>
                <w:szCs w:val="24"/>
              </w:rPr>
              <w:t>turi și info</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z w:val="24"/>
                <w:szCs w:val="24"/>
              </w:rPr>
              <w:t>mații r</w:t>
            </w:r>
            <w:r w:rsidRPr="00F36BBF">
              <w:rPr>
                <w:rFonts w:ascii="Times New Roman" w:eastAsia="Times New Roman" w:hAnsi="Times New Roman" w:cs="Times New Roman"/>
                <w:spacing w:val="-2"/>
                <w:sz w:val="24"/>
                <w:szCs w:val="24"/>
              </w:rPr>
              <w:t>e</w:t>
            </w:r>
            <w:r w:rsidRPr="00F36BBF">
              <w:rPr>
                <w:rFonts w:ascii="Times New Roman" w:eastAsia="Times New Roman" w:hAnsi="Times New Roman" w:cs="Times New Roman"/>
                <w:sz w:val="24"/>
                <w:szCs w:val="24"/>
              </w:rPr>
              <w:t>lev</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nte</w:t>
            </w:r>
          </w:p>
        </w:tc>
      </w:tr>
      <w:tr w:rsidR="00A72467" w:rsidRPr="00F36BBF" w:rsidTr="0090612E">
        <w:tc>
          <w:tcPr>
            <w:tcW w:w="9630" w:type="dxa"/>
          </w:tcPr>
          <w:p w:rsidR="00A72467" w:rsidRPr="00F36BBF" w:rsidRDefault="00A72467" w:rsidP="00724D41">
            <w:pPr>
              <w:spacing w:line="274" w:lineRule="exact"/>
              <w:ind w:right="-20" w:firstLine="702"/>
              <w:jc w:val="both"/>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Nu </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 xml:space="preserve">ste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pl</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pacing w:val="-1"/>
                <w:sz w:val="24"/>
                <w:szCs w:val="24"/>
              </w:rPr>
              <w:t>ca</w:t>
            </w:r>
            <w:r w:rsidRPr="00F36BBF">
              <w:rPr>
                <w:rFonts w:ascii="Times New Roman" w:eastAsia="Times New Roman" w:hAnsi="Times New Roman" w:cs="Times New Roman"/>
                <w:sz w:val="24"/>
                <w:szCs w:val="24"/>
              </w:rPr>
              <w:t>bi</w:t>
            </w:r>
            <w:r w:rsidRPr="00F36BBF">
              <w:rPr>
                <w:rFonts w:ascii="Times New Roman" w:eastAsia="Times New Roman" w:hAnsi="Times New Roman" w:cs="Times New Roman"/>
                <w:spacing w:val="2"/>
                <w:sz w:val="24"/>
                <w:szCs w:val="24"/>
              </w:rPr>
              <w:t>l</w:t>
            </w:r>
            <w:r w:rsidRPr="00F36BBF">
              <w:rPr>
                <w:rFonts w:ascii="Times New Roman" w:eastAsia="Times New Roman" w:hAnsi="Times New Roman" w:cs="Times New Roman"/>
                <w:sz w:val="24"/>
                <w:szCs w:val="24"/>
              </w:rPr>
              <w:t>.</w:t>
            </w:r>
          </w:p>
        </w:tc>
      </w:tr>
      <w:tr w:rsidR="00A72467" w:rsidRPr="00F36BBF" w:rsidTr="0090612E">
        <w:tc>
          <w:tcPr>
            <w:tcW w:w="9630" w:type="dxa"/>
          </w:tcPr>
          <w:p w:rsidR="00A72467" w:rsidRPr="00F36BBF" w:rsidRDefault="00A72467" w:rsidP="00F36BBF">
            <w:pPr>
              <w:spacing w:line="274" w:lineRule="exact"/>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b/>
                <w:bCs/>
                <w:sz w:val="24"/>
                <w:szCs w:val="24"/>
              </w:rPr>
              <w:t>5. Co</w:t>
            </w:r>
            <w:r w:rsidRPr="00F36BBF">
              <w:rPr>
                <w:rFonts w:ascii="Times New Roman" w:eastAsia="Times New Roman" w:hAnsi="Times New Roman" w:cs="Times New Roman"/>
                <w:b/>
                <w:bCs/>
                <w:spacing w:val="1"/>
                <w:sz w:val="24"/>
                <w:szCs w:val="24"/>
              </w:rPr>
              <w:t>mp</w:t>
            </w:r>
            <w:r w:rsidRPr="00F36BBF">
              <w:rPr>
                <w:rFonts w:ascii="Times New Roman" w:eastAsia="Times New Roman" w:hAnsi="Times New Roman" w:cs="Times New Roman"/>
                <w:b/>
                <w:bCs/>
                <w:sz w:val="24"/>
                <w:szCs w:val="24"/>
              </w:rPr>
              <w:t>atib</w:t>
            </w:r>
            <w:r w:rsidRPr="00F36BBF">
              <w:rPr>
                <w:rFonts w:ascii="Times New Roman" w:eastAsia="Times New Roman" w:hAnsi="Times New Roman" w:cs="Times New Roman"/>
                <w:b/>
                <w:bCs/>
                <w:spacing w:val="-2"/>
                <w:sz w:val="24"/>
                <w:szCs w:val="24"/>
              </w:rPr>
              <w:t>i</w:t>
            </w:r>
            <w:r w:rsidRPr="00F36BBF">
              <w:rPr>
                <w:rFonts w:ascii="Times New Roman" w:eastAsia="Times New Roman" w:hAnsi="Times New Roman" w:cs="Times New Roman"/>
                <w:b/>
                <w:bCs/>
                <w:sz w:val="24"/>
                <w:szCs w:val="24"/>
              </w:rPr>
              <w:t>l</w:t>
            </w:r>
            <w:r w:rsidRPr="00F36BBF">
              <w:rPr>
                <w:rFonts w:ascii="Times New Roman" w:eastAsia="Times New Roman" w:hAnsi="Times New Roman" w:cs="Times New Roman"/>
                <w:b/>
                <w:bCs/>
                <w:spacing w:val="1"/>
                <w:sz w:val="24"/>
                <w:szCs w:val="24"/>
              </w:rPr>
              <w:t>i</w:t>
            </w:r>
            <w:r w:rsidRPr="00F36BBF">
              <w:rPr>
                <w:rFonts w:ascii="Times New Roman" w:eastAsia="Times New Roman" w:hAnsi="Times New Roman" w:cs="Times New Roman"/>
                <w:b/>
                <w:bCs/>
                <w:sz w:val="24"/>
                <w:szCs w:val="24"/>
              </w:rPr>
              <w:t>ta</w:t>
            </w:r>
            <w:r w:rsidRPr="00F36BBF">
              <w:rPr>
                <w:rFonts w:ascii="Times New Roman" w:eastAsia="Times New Roman" w:hAnsi="Times New Roman" w:cs="Times New Roman"/>
                <w:b/>
                <w:bCs/>
                <w:spacing w:val="-1"/>
                <w:sz w:val="24"/>
                <w:szCs w:val="24"/>
              </w:rPr>
              <w:t>te</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2"/>
                <w:sz w:val="24"/>
                <w:szCs w:val="24"/>
              </w:rPr>
              <w:t xml:space="preserve"> </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oie</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 xml:space="preserve"> n</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z w:val="24"/>
                <w:szCs w:val="24"/>
              </w:rPr>
              <w:t>at</w:t>
            </w:r>
            <w:r w:rsidRPr="00F36BBF">
              <w:rPr>
                <w:rFonts w:ascii="Times New Roman" w:eastAsia="Times New Roman" w:hAnsi="Times New Roman" w:cs="Times New Roman"/>
                <w:b/>
                <w:bCs/>
                <w:spacing w:val="-3"/>
                <w:sz w:val="24"/>
                <w:szCs w:val="24"/>
              </w:rPr>
              <w:t>i</w:t>
            </w:r>
            <w:r w:rsidRPr="00F36BBF">
              <w:rPr>
                <w:rFonts w:ascii="Times New Roman" w:eastAsia="Times New Roman" w:hAnsi="Times New Roman" w:cs="Times New Roman"/>
                <w:b/>
                <w:bCs/>
                <w:sz w:val="24"/>
                <w:szCs w:val="24"/>
              </w:rPr>
              <w:t xml:space="preserve">v </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u</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legisl</w:t>
            </w:r>
            <w:r w:rsidRPr="00F36BBF">
              <w:rPr>
                <w:rFonts w:ascii="Times New Roman" w:eastAsia="Times New Roman" w:hAnsi="Times New Roman" w:cs="Times New Roman"/>
                <w:b/>
                <w:bCs/>
                <w:spacing w:val="1"/>
                <w:sz w:val="24"/>
                <w:szCs w:val="24"/>
              </w:rPr>
              <w:t>a</w:t>
            </w:r>
            <w:r w:rsidRPr="00F36BBF">
              <w:rPr>
                <w:rFonts w:ascii="Times New Roman" w:eastAsia="Times New Roman" w:hAnsi="Times New Roman" w:cs="Times New Roman"/>
                <w:b/>
                <w:bCs/>
                <w:spacing w:val="-1"/>
                <w:sz w:val="24"/>
                <w:szCs w:val="24"/>
              </w:rPr>
              <w:t>ț</w:t>
            </w:r>
            <w:r w:rsidRPr="00F36BBF">
              <w:rPr>
                <w:rFonts w:ascii="Times New Roman" w:eastAsia="Times New Roman" w:hAnsi="Times New Roman" w:cs="Times New Roman"/>
                <w:b/>
                <w:bCs/>
                <w:sz w:val="24"/>
                <w:szCs w:val="24"/>
              </w:rPr>
              <w:t>ia UE</w:t>
            </w:r>
          </w:p>
        </w:tc>
      </w:tr>
      <w:tr w:rsidR="00A72467" w:rsidRPr="00F36BBF" w:rsidTr="0090612E">
        <w:tc>
          <w:tcPr>
            <w:tcW w:w="9630" w:type="dxa"/>
          </w:tcPr>
          <w:p w:rsidR="00A72467" w:rsidRPr="00F36BBF" w:rsidRDefault="00A72467" w:rsidP="00F36BBF">
            <w:pPr>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5.1. </w:t>
            </w:r>
            <w:r w:rsidRPr="00F36BBF">
              <w:rPr>
                <w:rFonts w:ascii="Times New Roman" w:eastAsia="Times New Roman" w:hAnsi="Times New Roman" w:cs="Times New Roman"/>
                <w:spacing w:val="14"/>
                <w:sz w:val="24"/>
                <w:szCs w:val="24"/>
              </w:rPr>
              <w:t xml:space="preserve"> </w:t>
            </w:r>
            <w:r w:rsidRPr="00F36BBF">
              <w:rPr>
                <w:rFonts w:ascii="Times New Roman" w:eastAsia="Times New Roman" w:hAnsi="Times New Roman" w:cs="Times New Roman"/>
                <w:sz w:val="24"/>
                <w:szCs w:val="24"/>
              </w:rPr>
              <w:t>M</w:t>
            </w:r>
            <w:r w:rsidRPr="00F36BBF">
              <w:rPr>
                <w:rFonts w:ascii="Times New Roman" w:eastAsia="Times New Roman" w:hAnsi="Times New Roman" w:cs="Times New Roman"/>
                <w:spacing w:val="-1"/>
                <w:sz w:val="24"/>
                <w:szCs w:val="24"/>
              </w:rPr>
              <w:t>ă</w:t>
            </w:r>
            <w:r w:rsidRPr="00F36BBF">
              <w:rPr>
                <w:rFonts w:ascii="Times New Roman" w:eastAsia="Times New Roman" w:hAnsi="Times New Roman" w:cs="Times New Roman"/>
                <w:sz w:val="24"/>
                <w:szCs w:val="24"/>
              </w:rPr>
              <w:t xml:space="preserve">suri </w:t>
            </w:r>
            <w:r w:rsidRPr="00F36BBF">
              <w:rPr>
                <w:rFonts w:ascii="Times New Roman" w:eastAsia="Times New Roman" w:hAnsi="Times New Roman" w:cs="Times New Roman"/>
                <w:spacing w:val="15"/>
                <w:sz w:val="24"/>
                <w:szCs w:val="24"/>
              </w:rPr>
              <w:t xml:space="preserve"> </w:t>
            </w:r>
            <w:r w:rsidRPr="00F36BBF">
              <w:rPr>
                <w:rFonts w:ascii="Times New Roman" w:eastAsia="Times New Roman" w:hAnsi="Times New Roman" w:cs="Times New Roman"/>
                <w:sz w:val="24"/>
                <w:szCs w:val="24"/>
              </w:rPr>
              <w:t>norm</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 xml:space="preserve">ve </w:t>
            </w:r>
            <w:r w:rsidRPr="00F36BBF">
              <w:rPr>
                <w:rFonts w:ascii="Times New Roman" w:eastAsia="Times New Roman" w:hAnsi="Times New Roman" w:cs="Times New Roman"/>
                <w:spacing w:val="14"/>
                <w:sz w:val="24"/>
                <w:szCs w:val="24"/>
              </w:rPr>
              <w:t xml:space="preserve"> </w:t>
            </w:r>
            <w:r w:rsidRPr="00F36BBF">
              <w:rPr>
                <w:rFonts w:ascii="Times New Roman" w:eastAsia="Times New Roman" w:hAnsi="Times New Roman" w:cs="Times New Roman"/>
                <w:sz w:val="24"/>
                <w:szCs w:val="24"/>
              </w:rPr>
              <w:t>n</w:t>
            </w:r>
            <w:r w:rsidRPr="00F36BBF">
              <w:rPr>
                <w:rFonts w:ascii="Times New Roman" w:eastAsia="Times New Roman" w:hAnsi="Times New Roman" w:cs="Times New Roman"/>
                <w:spacing w:val="-1"/>
                <w:sz w:val="24"/>
                <w:szCs w:val="24"/>
              </w:rPr>
              <w:t>ece</w:t>
            </w:r>
            <w:r w:rsidRPr="00F36BBF">
              <w:rPr>
                <w:rFonts w:ascii="Times New Roman" w:eastAsia="Times New Roman" w:hAnsi="Times New Roman" w:cs="Times New Roman"/>
                <w:sz w:val="24"/>
                <w:szCs w:val="24"/>
              </w:rPr>
              <w:t>s</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 xml:space="preserve">re </w:t>
            </w:r>
            <w:r w:rsidRPr="00F36BBF">
              <w:rPr>
                <w:rFonts w:ascii="Times New Roman" w:eastAsia="Times New Roman" w:hAnsi="Times New Roman" w:cs="Times New Roman"/>
                <w:spacing w:val="13"/>
                <w:sz w:val="24"/>
                <w:szCs w:val="24"/>
              </w:rPr>
              <w:t xml:space="preserve"> </w:t>
            </w:r>
            <w:r w:rsidRPr="00F36BBF">
              <w:rPr>
                <w:rFonts w:ascii="Times New Roman" w:eastAsia="Times New Roman" w:hAnsi="Times New Roman" w:cs="Times New Roman"/>
                <w:sz w:val="24"/>
                <w:szCs w:val="24"/>
              </w:rPr>
              <w:t>p</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 xml:space="preserve">ntru </w:t>
            </w:r>
            <w:r w:rsidRPr="00F36BBF">
              <w:rPr>
                <w:rFonts w:ascii="Times New Roman" w:eastAsia="Times New Roman" w:hAnsi="Times New Roman" w:cs="Times New Roman"/>
                <w:spacing w:val="14"/>
                <w:sz w:val="24"/>
                <w:szCs w:val="24"/>
              </w:rPr>
              <w:t xml:space="preserve"> </w:t>
            </w:r>
            <w:r w:rsidRPr="00F36BBF">
              <w:rPr>
                <w:rFonts w:ascii="Times New Roman" w:eastAsia="Times New Roman" w:hAnsi="Times New Roman" w:cs="Times New Roman"/>
                <w:sz w:val="24"/>
                <w:szCs w:val="24"/>
              </w:rPr>
              <w:t>tr</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nsp</w:t>
            </w:r>
            <w:r w:rsidRPr="00F36BBF">
              <w:rPr>
                <w:rFonts w:ascii="Times New Roman" w:eastAsia="Times New Roman" w:hAnsi="Times New Roman" w:cs="Times New Roman"/>
                <w:spacing w:val="2"/>
                <w:sz w:val="24"/>
                <w:szCs w:val="24"/>
              </w:rPr>
              <w:t>u</w:t>
            </w:r>
            <w:r w:rsidRPr="00F36BBF">
              <w:rPr>
                <w:rFonts w:ascii="Times New Roman" w:eastAsia="Times New Roman" w:hAnsi="Times New Roman" w:cs="Times New Roman"/>
                <w:sz w:val="24"/>
                <w:szCs w:val="24"/>
              </w:rPr>
              <w:t>n</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r</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 xml:space="preserve">a </w:t>
            </w:r>
            <w:r w:rsidRPr="00F36BBF">
              <w:rPr>
                <w:rFonts w:ascii="Times New Roman" w:eastAsia="Times New Roman" w:hAnsi="Times New Roman" w:cs="Times New Roman"/>
                <w:spacing w:val="13"/>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 xml:space="preserve">telor </w:t>
            </w:r>
            <w:r w:rsidRPr="00F36BBF">
              <w:rPr>
                <w:rFonts w:ascii="Times New Roman" w:eastAsia="Times New Roman" w:hAnsi="Times New Roman" w:cs="Times New Roman"/>
                <w:spacing w:val="15"/>
                <w:sz w:val="24"/>
                <w:szCs w:val="24"/>
              </w:rPr>
              <w:t xml:space="preserve"> </w:t>
            </w:r>
            <w:r w:rsidRPr="00F36BBF">
              <w:rPr>
                <w:rFonts w:ascii="Times New Roman" w:eastAsia="Times New Roman" w:hAnsi="Times New Roman" w:cs="Times New Roman"/>
                <w:sz w:val="24"/>
                <w:szCs w:val="24"/>
              </w:rPr>
              <w:t>juridi</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 xml:space="preserve">e </w:t>
            </w:r>
            <w:r w:rsidRPr="00F36BBF">
              <w:rPr>
                <w:rFonts w:ascii="Times New Roman" w:eastAsia="Times New Roman" w:hAnsi="Times New Roman" w:cs="Times New Roman"/>
                <w:spacing w:val="14"/>
                <w:sz w:val="24"/>
                <w:szCs w:val="24"/>
              </w:rPr>
              <w:t xml:space="preserv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 xml:space="preserve">le </w:t>
            </w:r>
            <w:r w:rsidRPr="00F36BBF">
              <w:rPr>
                <w:rFonts w:ascii="Times New Roman" w:eastAsia="Times New Roman" w:hAnsi="Times New Roman" w:cs="Times New Roman"/>
                <w:spacing w:val="14"/>
                <w:sz w:val="24"/>
                <w:szCs w:val="24"/>
              </w:rPr>
              <w:t xml:space="preserve"> </w:t>
            </w:r>
            <w:r w:rsidRPr="00F36BBF">
              <w:rPr>
                <w:rFonts w:ascii="Times New Roman" w:eastAsia="Times New Roman" w:hAnsi="Times New Roman" w:cs="Times New Roman"/>
                <w:sz w:val="24"/>
                <w:szCs w:val="24"/>
              </w:rPr>
              <w:t xml:space="preserve">UE </w:t>
            </w:r>
            <w:r w:rsidRPr="00F36BBF">
              <w:rPr>
                <w:rFonts w:ascii="Times New Roman" w:eastAsia="Times New Roman" w:hAnsi="Times New Roman" w:cs="Times New Roman"/>
                <w:spacing w:val="14"/>
                <w:sz w:val="24"/>
                <w:szCs w:val="24"/>
              </w:rPr>
              <w:t xml:space="preserve"> </w:t>
            </w:r>
            <w:r w:rsidRPr="00F36BBF">
              <w:rPr>
                <w:rFonts w:ascii="Times New Roman" w:eastAsia="Times New Roman" w:hAnsi="Times New Roman" w:cs="Times New Roman"/>
                <w:sz w:val="24"/>
                <w:szCs w:val="24"/>
              </w:rPr>
              <w:t>în</w:t>
            </w:r>
          </w:p>
          <w:p w:rsidR="00A72467" w:rsidRPr="00F36BBF" w:rsidRDefault="00A72467" w:rsidP="00F36BBF">
            <w:pPr>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legisl</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ț</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a</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n</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ț</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on</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lă</w:t>
            </w:r>
          </w:p>
        </w:tc>
      </w:tr>
      <w:tr w:rsidR="00A72467" w:rsidRPr="00F36BBF" w:rsidTr="0090612E">
        <w:tc>
          <w:tcPr>
            <w:tcW w:w="9630" w:type="dxa"/>
          </w:tcPr>
          <w:p w:rsidR="00A72467" w:rsidRPr="00F36BBF" w:rsidRDefault="00A72467" w:rsidP="00F36BBF">
            <w:pPr>
              <w:spacing w:line="274" w:lineRule="exact"/>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spacing w:val="1"/>
                <w:sz w:val="24"/>
                <w:szCs w:val="24"/>
              </w:rPr>
              <w:t>P</w:t>
            </w:r>
            <w:r w:rsidRPr="00F36BBF">
              <w:rPr>
                <w:rFonts w:ascii="Times New Roman" w:eastAsia="Times New Roman" w:hAnsi="Times New Roman" w:cs="Times New Roman"/>
                <w:sz w:val="24"/>
                <w:szCs w:val="24"/>
              </w:rPr>
              <w:t>roi</w:t>
            </w:r>
            <w:r w:rsidRPr="00F36BBF">
              <w:rPr>
                <w:rFonts w:ascii="Times New Roman" w:eastAsia="Times New Roman" w:hAnsi="Times New Roman" w:cs="Times New Roman"/>
                <w:spacing w:val="-1"/>
                <w:sz w:val="24"/>
                <w:szCs w:val="24"/>
              </w:rPr>
              <w:t>ec</w:t>
            </w:r>
            <w:r w:rsidRPr="00F36BBF">
              <w:rPr>
                <w:rFonts w:ascii="Times New Roman" w:eastAsia="Times New Roman" w:hAnsi="Times New Roman" w:cs="Times New Roman"/>
                <w:sz w:val="24"/>
                <w:szCs w:val="24"/>
              </w:rPr>
              <w:t>tul</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z w:val="24"/>
                <w:szCs w:val="24"/>
              </w:rPr>
              <w:t>nu tr</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nspune</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pacing w:val="1"/>
                <w:sz w:val="24"/>
                <w:szCs w:val="24"/>
              </w:rPr>
              <w:t>ac</w:t>
            </w:r>
            <w:r w:rsidRPr="00F36BBF">
              <w:rPr>
                <w:rFonts w:ascii="Times New Roman" w:eastAsia="Times New Roman" w:hAnsi="Times New Roman" w:cs="Times New Roman"/>
                <w:sz w:val="24"/>
                <w:szCs w:val="24"/>
              </w:rPr>
              <w:t>te ju</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z w:val="24"/>
                <w:szCs w:val="24"/>
              </w:rPr>
              <w:t>id</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e</w:t>
            </w:r>
            <w:r w:rsidRPr="00F36BBF">
              <w:rPr>
                <w:rFonts w:ascii="Times New Roman" w:eastAsia="Times New Roman" w:hAnsi="Times New Roman" w:cs="Times New Roman"/>
                <w:spacing w:val="-1"/>
                <w:sz w:val="24"/>
                <w:szCs w:val="24"/>
              </w:rPr>
              <w:t xml:space="preserve"> a</w:t>
            </w:r>
            <w:r w:rsidRPr="00F36BBF">
              <w:rPr>
                <w:rFonts w:ascii="Times New Roman" w:eastAsia="Times New Roman" w:hAnsi="Times New Roman" w:cs="Times New Roman"/>
                <w:sz w:val="24"/>
                <w:szCs w:val="24"/>
              </w:rPr>
              <w:t xml:space="preserve">le </w:t>
            </w:r>
            <w:r w:rsidRPr="00F36BBF">
              <w:rPr>
                <w:rFonts w:ascii="Times New Roman" w:eastAsia="Times New Roman" w:hAnsi="Times New Roman" w:cs="Times New Roman"/>
                <w:spacing w:val="-1"/>
                <w:sz w:val="24"/>
                <w:szCs w:val="24"/>
              </w:rPr>
              <w:t>U</w:t>
            </w:r>
            <w:r w:rsidRPr="00F36BBF">
              <w:rPr>
                <w:rFonts w:ascii="Times New Roman" w:eastAsia="Times New Roman" w:hAnsi="Times New Roman" w:cs="Times New Roman"/>
                <w:sz w:val="24"/>
                <w:szCs w:val="24"/>
              </w:rPr>
              <w:t>E.</w:t>
            </w:r>
          </w:p>
        </w:tc>
      </w:tr>
      <w:tr w:rsidR="00A72467" w:rsidRPr="00F36BBF" w:rsidTr="0090612E">
        <w:tc>
          <w:tcPr>
            <w:tcW w:w="9630" w:type="dxa"/>
          </w:tcPr>
          <w:p w:rsidR="00A72467" w:rsidRPr="00F36BBF" w:rsidRDefault="00A72467" w:rsidP="00F36BBF">
            <w:pPr>
              <w:spacing w:before="1" w:line="276" w:lineRule="exact"/>
              <w:ind w:right="39"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5.2.</w:t>
            </w:r>
            <w:r w:rsidRPr="00F36BBF">
              <w:rPr>
                <w:rFonts w:ascii="Times New Roman" w:eastAsia="Times New Roman" w:hAnsi="Times New Roman" w:cs="Times New Roman"/>
                <w:spacing w:val="29"/>
                <w:sz w:val="24"/>
                <w:szCs w:val="24"/>
              </w:rPr>
              <w:t xml:space="preserve"> </w:t>
            </w:r>
            <w:r w:rsidRPr="00F36BBF">
              <w:rPr>
                <w:rFonts w:ascii="Times New Roman" w:eastAsia="Times New Roman" w:hAnsi="Times New Roman" w:cs="Times New Roman"/>
                <w:sz w:val="24"/>
                <w:szCs w:val="24"/>
              </w:rPr>
              <w:t>M</w:t>
            </w:r>
            <w:r w:rsidRPr="00F36BBF">
              <w:rPr>
                <w:rFonts w:ascii="Times New Roman" w:eastAsia="Times New Roman" w:hAnsi="Times New Roman" w:cs="Times New Roman"/>
                <w:spacing w:val="-1"/>
                <w:sz w:val="24"/>
                <w:szCs w:val="24"/>
              </w:rPr>
              <w:t>ă</w:t>
            </w:r>
            <w:r w:rsidRPr="00F36BBF">
              <w:rPr>
                <w:rFonts w:ascii="Times New Roman" w:eastAsia="Times New Roman" w:hAnsi="Times New Roman" w:cs="Times New Roman"/>
                <w:sz w:val="24"/>
                <w:szCs w:val="24"/>
              </w:rPr>
              <w:t>suri</w:t>
            </w:r>
            <w:r w:rsidRPr="00F36BBF">
              <w:rPr>
                <w:rFonts w:ascii="Times New Roman" w:eastAsia="Times New Roman" w:hAnsi="Times New Roman" w:cs="Times New Roman"/>
                <w:spacing w:val="29"/>
                <w:sz w:val="24"/>
                <w:szCs w:val="24"/>
              </w:rPr>
              <w:t xml:space="preserve"> </w:t>
            </w:r>
            <w:r w:rsidRPr="00F36BBF">
              <w:rPr>
                <w:rFonts w:ascii="Times New Roman" w:eastAsia="Times New Roman" w:hAnsi="Times New Roman" w:cs="Times New Roman"/>
                <w:sz w:val="24"/>
                <w:szCs w:val="24"/>
              </w:rPr>
              <w:t>norm</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t</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ve</w:t>
            </w:r>
            <w:r w:rsidRPr="00F36BBF">
              <w:rPr>
                <w:rFonts w:ascii="Times New Roman" w:eastAsia="Times New Roman" w:hAnsi="Times New Roman" w:cs="Times New Roman"/>
                <w:spacing w:val="30"/>
                <w:sz w:val="24"/>
                <w:szCs w:val="24"/>
              </w:rPr>
              <w:t xml:space="preserve"> </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re</w:t>
            </w:r>
            <w:r w:rsidRPr="00F36BBF">
              <w:rPr>
                <w:rFonts w:ascii="Times New Roman" w:eastAsia="Times New Roman" w:hAnsi="Times New Roman" w:cs="Times New Roman"/>
                <w:spacing w:val="27"/>
                <w:sz w:val="24"/>
                <w:szCs w:val="24"/>
              </w:rPr>
              <w:t xml:space="preserve"> </w:t>
            </w:r>
            <w:r w:rsidRPr="00F36BBF">
              <w:rPr>
                <w:rFonts w:ascii="Times New Roman" w:eastAsia="Times New Roman" w:hAnsi="Times New Roman" w:cs="Times New Roman"/>
                <w:spacing w:val="2"/>
                <w:sz w:val="24"/>
                <w:szCs w:val="24"/>
              </w:rPr>
              <w:t>u</w:t>
            </w:r>
            <w:r w:rsidRPr="00F36BBF">
              <w:rPr>
                <w:rFonts w:ascii="Times New Roman" w:eastAsia="Times New Roman" w:hAnsi="Times New Roman" w:cs="Times New Roman"/>
                <w:sz w:val="24"/>
                <w:szCs w:val="24"/>
              </w:rPr>
              <w:t>rm</w:t>
            </w:r>
            <w:r w:rsidRPr="00F36BBF">
              <w:rPr>
                <w:rFonts w:ascii="Times New Roman" w:eastAsia="Times New Roman" w:hAnsi="Times New Roman" w:cs="Times New Roman"/>
                <w:spacing w:val="-1"/>
                <w:sz w:val="24"/>
                <w:szCs w:val="24"/>
              </w:rPr>
              <w:t>ă</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sc</w:t>
            </w:r>
            <w:r w:rsidRPr="00F36BBF">
              <w:rPr>
                <w:rFonts w:ascii="Times New Roman" w:eastAsia="Times New Roman" w:hAnsi="Times New Roman" w:cs="Times New Roman"/>
                <w:spacing w:val="29"/>
                <w:sz w:val="24"/>
                <w:szCs w:val="24"/>
              </w:rPr>
              <w:t xml:space="preserve"> </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re</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rea</w:t>
            </w:r>
            <w:r w:rsidRPr="00F36BBF">
              <w:rPr>
                <w:rFonts w:ascii="Times New Roman" w:eastAsia="Times New Roman" w:hAnsi="Times New Roman" w:cs="Times New Roman"/>
                <w:spacing w:val="29"/>
                <w:sz w:val="24"/>
                <w:szCs w:val="24"/>
              </w:rPr>
              <w:t xml:space="preserve"> </w:t>
            </w:r>
            <w:r w:rsidRPr="00F36BBF">
              <w:rPr>
                <w:rFonts w:ascii="Times New Roman" w:eastAsia="Times New Roman" w:hAnsi="Times New Roman" w:cs="Times New Roman"/>
                <w:spacing w:val="1"/>
                <w:sz w:val="24"/>
                <w:szCs w:val="24"/>
              </w:rPr>
              <w:t>ca</w:t>
            </w:r>
            <w:r w:rsidRPr="00F36BBF">
              <w:rPr>
                <w:rFonts w:ascii="Times New Roman" w:eastAsia="Times New Roman" w:hAnsi="Times New Roman" w:cs="Times New Roman"/>
                <w:sz w:val="24"/>
                <w:szCs w:val="24"/>
              </w:rPr>
              <w:t>drului</w:t>
            </w:r>
            <w:r w:rsidRPr="00F36BBF">
              <w:rPr>
                <w:rFonts w:ascii="Times New Roman" w:eastAsia="Times New Roman" w:hAnsi="Times New Roman" w:cs="Times New Roman"/>
                <w:spacing w:val="30"/>
                <w:sz w:val="24"/>
                <w:szCs w:val="24"/>
              </w:rPr>
              <w:t xml:space="preserve"> </w:t>
            </w:r>
            <w:r w:rsidRPr="00F36BBF">
              <w:rPr>
                <w:rFonts w:ascii="Times New Roman" w:eastAsia="Times New Roman" w:hAnsi="Times New Roman" w:cs="Times New Roman"/>
                <w:sz w:val="24"/>
                <w:szCs w:val="24"/>
              </w:rPr>
              <w:t>juridic</w:t>
            </w:r>
            <w:r w:rsidRPr="00F36BBF">
              <w:rPr>
                <w:rFonts w:ascii="Times New Roman" w:eastAsia="Times New Roman" w:hAnsi="Times New Roman" w:cs="Times New Roman"/>
                <w:spacing w:val="29"/>
                <w:sz w:val="24"/>
                <w:szCs w:val="24"/>
              </w:rPr>
              <w:t xml:space="preserve"> </w:t>
            </w:r>
            <w:r w:rsidRPr="00F36BBF">
              <w:rPr>
                <w:rFonts w:ascii="Times New Roman" w:eastAsia="Times New Roman" w:hAnsi="Times New Roman" w:cs="Times New Roman"/>
                <w:sz w:val="24"/>
                <w:szCs w:val="24"/>
              </w:rPr>
              <w:t>in</w:t>
            </w:r>
            <w:r w:rsidRPr="00F36BBF">
              <w:rPr>
                <w:rFonts w:ascii="Times New Roman" w:eastAsia="Times New Roman" w:hAnsi="Times New Roman" w:cs="Times New Roman"/>
                <w:spacing w:val="1"/>
                <w:sz w:val="24"/>
                <w:szCs w:val="24"/>
              </w:rPr>
              <w:t>t</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rn</w:t>
            </w:r>
            <w:r w:rsidRPr="00F36BBF">
              <w:rPr>
                <w:rFonts w:ascii="Times New Roman" w:eastAsia="Times New Roman" w:hAnsi="Times New Roman" w:cs="Times New Roman"/>
                <w:spacing w:val="28"/>
                <w:sz w:val="24"/>
                <w:szCs w:val="24"/>
              </w:rPr>
              <w:t xml:space="preserve"> </w:t>
            </w:r>
            <w:r w:rsidRPr="00F36BBF">
              <w:rPr>
                <w:rFonts w:ascii="Times New Roman" w:eastAsia="Times New Roman" w:hAnsi="Times New Roman" w:cs="Times New Roman"/>
                <w:sz w:val="24"/>
                <w:szCs w:val="24"/>
              </w:rPr>
              <w:t>n</w:t>
            </w:r>
            <w:r w:rsidRPr="00F36BBF">
              <w:rPr>
                <w:rFonts w:ascii="Times New Roman" w:eastAsia="Times New Roman" w:hAnsi="Times New Roman" w:cs="Times New Roman"/>
                <w:spacing w:val="1"/>
                <w:sz w:val="24"/>
                <w:szCs w:val="24"/>
              </w:rPr>
              <w:t>ec</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s</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w:t>
            </w:r>
            <w:r w:rsidRPr="00F36BBF">
              <w:rPr>
                <w:rFonts w:ascii="Times New Roman" w:eastAsia="Times New Roman" w:hAnsi="Times New Roman" w:cs="Times New Roman"/>
                <w:spacing w:val="29"/>
                <w:sz w:val="24"/>
                <w:szCs w:val="24"/>
              </w:rPr>
              <w:t xml:space="preserve"> </w:t>
            </w:r>
            <w:r w:rsidRPr="00F36BBF">
              <w:rPr>
                <w:rFonts w:ascii="Times New Roman" w:eastAsia="Times New Roman" w:hAnsi="Times New Roman" w:cs="Times New Roman"/>
                <w:spacing w:val="2"/>
                <w:sz w:val="24"/>
                <w:szCs w:val="24"/>
              </w:rPr>
              <w:t>p</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ntru i</w:t>
            </w:r>
            <w:r w:rsidRPr="00F36BBF">
              <w:rPr>
                <w:rFonts w:ascii="Times New Roman" w:eastAsia="Times New Roman" w:hAnsi="Times New Roman" w:cs="Times New Roman"/>
                <w:spacing w:val="1"/>
                <w:sz w:val="24"/>
                <w:szCs w:val="24"/>
              </w:rPr>
              <w:t>m</w:t>
            </w:r>
            <w:r w:rsidRPr="00F36BBF">
              <w:rPr>
                <w:rFonts w:ascii="Times New Roman" w:eastAsia="Times New Roman" w:hAnsi="Times New Roman" w:cs="Times New Roman"/>
                <w:sz w:val="24"/>
                <w:szCs w:val="24"/>
              </w:rPr>
              <w:t>plem</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n</w:t>
            </w:r>
            <w:r w:rsidRPr="00F36BBF">
              <w:rPr>
                <w:rFonts w:ascii="Times New Roman" w:eastAsia="Times New Roman" w:hAnsi="Times New Roman" w:cs="Times New Roman"/>
                <w:spacing w:val="1"/>
                <w:sz w:val="24"/>
                <w:szCs w:val="24"/>
              </w:rPr>
              <w:t>t</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w:t>
            </w:r>
            <w:r w:rsidRPr="00F36BBF">
              <w:rPr>
                <w:rFonts w:ascii="Times New Roman" w:eastAsia="Times New Roman" w:hAnsi="Times New Roman" w:cs="Times New Roman"/>
                <w:spacing w:val="-2"/>
                <w:sz w:val="24"/>
                <w:szCs w:val="24"/>
              </w:rPr>
              <w:t>e</w:t>
            </w:r>
            <w:r w:rsidRPr="00F36BBF">
              <w:rPr>
                <w:rFonts w:ascii="Times New Roman" w:eastAsia="Times New Roman" w:hAnsi="Times New Roman" w:cs="Times New Roman"/>
                <w:sz w:val="24"/>
                <w:szCs w:val="24"/>
              </w:rPr>
              <w:t>a</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legislației</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z w:val="24"/>
                <w:szCs w:val="24"/>
              </w:rPr>
              <w:t>UE</w:t>
            </w:r>
          </w:p>
        </w:tc>
      </w:tr>
      <w:tr w:rsidR="00A72467" w:rsidRPr="00F36BBF" w:rsidTr="0090612E">
        <w:tc>
          <w:tcPr>
            <w:tcW w:w="9630" w:type="dxa"/>
          </w:tcPr>
          <w:p w:rsidR="00A72467" w:rsidRPr="00F36BBF" w:rsidRDefault="00A72467" w:rsidP="00F36BBF">
            <w:pPr>
              <w:spacing w:before="1"/>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sz w:val="24"/>
                <w:szCs w:val="24"/>
              </w:rPr>
              <w:t xml:space="preserve">Nu </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 xml:space="preserve">ste </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pl</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pacing w:val="-1"/>
                <w:sz w:val="24"/>
                <w:szCs w:val="24"/>
              </w:rPr>
              <w:t>ca</w:t>
            </w:r>
            <w:r w:rsidRPr="00F36BBF">
              <w:rPr>
                <w:rFonts w:ascii="Times New Roman" w:eastAsia="Times New Roman" w:hAnsi="Times New Roman" w:cs="Times New Roman"/>
                <w:sz w:val="24"/>
                <w:szCs w:val="24"/>
              </w:rPr>
              <w:t>bi</w:t>
            </w:r>
            <w:r w:rsidRPr="00F36BBF">
              <w:rPr>
                <w:rFonts w:ascii="Times New Roman" w:eastAsia="Times New Roman" w:hAnsi="Times New Roman" w:cs="Times New Roman"/>
                <w:spacing w:val="2"/>
                <w:sz w:val="24"/>
                <w:szCs w:val="24"/>
              </w:rPr>
              <w:t>l</w:t>
            </w:r>
            <w:r w:rsidRPr="00F36BBF">
              <w:rPr>
                <w:rFonts w:ascii="Times New Roman" w:eastAsia="Times New Roman" w:hAnsi="Times New Roman" w:cs="Times New Roman"/>
                <w:sz w:val="24"/>
                <w:szCs w:val="24"/>
              </w:rPr>
              <w:t>.</w:t>
            </w:r>
          </w:p>
        </w:tc>
      </w:tr>
      <w:tr w:rsidR="00A72467" w:rsidRPr="00F36BBF" w:rsidTr="0090612E">
        <w:tc>
          <w:tcPr>
            <w:tcW w:w="9630" w:type="dxa"/>
          </w:tcPr>
          <w:p w:rsidR="00A72467" w:rsidRPr="00F36BBF" w:rsidRDefault="00A72467" w:rsidP="00F36BBF">
            <w:pPr>
              <w:spacing w:line="274" w:lineRule="exact"/>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b/>
                <w:bCs/>
                <w:sz w:val="24"/>
                <w:szCs w:val="24"/>
              </w:rPr>
              <w:t>6. Avi</w:t>
            </w:r>
            <w:r w:rsidRPr="00F36BBF">
              <w:rPr>
                <w:rFonts w:ascii="Times New Roman" w:eastAsia="Times New Roman" w:hAnsi="Times New Roman" w:cs="Times New Roman"/>
                <w:b/>
                <w:bCs/>
                <w:spacing w:val="-1"/>
                <w:sz w:val="24"/>
                <w:szCs w:val="24"/>
              </w:rPr>
              <w:t>z</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re</w:t>
            </w:r>
            <w:r w:rsidRPr="00F36BBF">
              <w:rPr>
                <w:rFonts w:ascii="Times New Roman" w:eastAsia="Times New Roman" w:hAnsi="Times New Roman" w:cs="Times New Roman"/>
                <w:b/>
                <w:bCs/>
                <w:sz w:val="24"/>
                <w:szCs w:val="24"/>
              </w:rPr>
              <w:t xml:space="preserve">a și </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1"/>
                <w:sz w:val="24"/>
                <w:szCs w:val="24"/>
              </w:rPr>
              <w:t>n</w:t>
            </w:r>
            <w:r w:rsidRPr="00F36BBF">
              <w:rPr>
                <w:rFonts w:ascii="Times New Roman" w:eastAsia="Times New Roman" w:hAnsi="Times New Roman" w:cs="Times New Roman"/>
                <w:b/>
                <w:bCs/>
                <w:sz w:val="24"/>
                <w:szCs w:val="24"/>
              </w:rPr>
              <w:t>s</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lta</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 xml:space="preserve"> pub</w:t>
            </w:r>
            <w:r w:rsidRPr="00F36BBF">
              <w:rPr>
                <w:rFonts w:ascii="Times New Roman" w:eastAsia="Times New Roman" w:hAnsi="Times New Roman" w:cs="Times New Roman"/>
                <w:b/>
                <w:bCs/>
                <w:sz w:val="24"/>
                <w:szCs w:val="24"/>
              </w:rPr>
              <w:t>l</w:t>
            </w:r>
            <w:r w:rsidRPr="00F36BBF">
              <w:rPr>
                <w:rFonts w:ascii="Times New Roman" w:eastAsia="Times New Roman" w:hAnsi="Times New Roman" w:cs="Times New Roman"/>
                <w:b/>
                <w:bCs/>
                <w:spacing w:val="1"/>
                <w:sz w:val="24"/>
                <w:szCs w:val="24"/>
              </w:rPr>
              <w:t>i</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ă</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 xml:space="preserve">a </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oie</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 xml:space="preserve"> n</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z w:val="24"/>
                <w:szCs w:val="24"/>
              </w:rPr>
              <w:t>ativ</w:t>
            </w:r>
          </w:p>
        </w:tc>
      </w:tr>
      <w:tr w:rsidR="00A72467" w:rsidRPr="00F36BBF" w:rsidTr="0090612E">
        <w:tc>
          <w:tcPr>
            <w:tcW w:w="9630" w:type="dxa"/>
          </w:tcPr>
          <w:p w:rsidR="00105034" w:rsidRPr="00105034" w:rsidRDefault="00A72467" w:rsidP="00105034">
            <w:pPr>
              <w:pStyle w:val="a9"/>
              <w:ind w:firstLine="733"/>
              <w:rPr>
                <w:spacing w:val="-1"/>
                <w:sz w:val="24"/>
                <w:szCs w:val="24"/>
                <w:lang w:val="ro-MD"/>
              </w:rPr>
            </w:pPr>
            <w:r w:rsidRPr="00105034">
              <w:rPr>
                <w:spacing w:val="1"/>
                <w:sz w:val="24"/>
                <w:szCs w:val="24"/>
                <w:lang w:val="ro-MD"/>
              </w:rPr>
              <w:t>P</w:t>
            </w:r>
            <w:r w:rsidRPr="00105034">
              <w:rPr>
                <w:sz w:val="24"/>
                <w:szCs w:val="24"/>
                <w:lang w:val="ro-MD"/>
              </w:rPr>
              <w:t>roi</w:t>
            </w:r>
            <w:r w:rsidRPr="00105034">
              <w:rPr>
                <w:spacing w:val="-1"/>
                <w:sz w:val="24"/>
                <w:szCs w:val="24"/>
                <w:lang w:val="ro-MD"/>
              </w:rPr>
              <w:t>ec</w:t>
            </w:r>
            <w:r w:rsidRPr="00105034">
              <w:rPr>
                <w:sz w:val="24"/>
                <w:szCs w:val="24"/>
                <w:lang w:val="ro-MD"/>
              </w:rPr>
              <w:t>tul</w:t>
            </w:r>
            <w:r w:rsidRPr="00105034">
              <w:rPr>
                <w:spacing w:val="45"/>
                <w:sz w:val="24"/>
                <w:szCs w:val="24"/>
                <w:lang w:val="ro-MD"/>
              </w:rPr>
              <w:t xml:space="preserve"> </w:t>
            </w:r>
            <w:r w:rsidR="00735ADA" w:rsidRPr="00105034">
              <w:rPr>
                <w:sz w:val="24"/>
                <w:szCs w:val="24"/>
                <w:lang w:val="ro-MD"/>
              </w:rPr>
              <w:t xml:space="preserve">Hotărârii de Guvern </w:t>
            </w:r>
            <w:r w:rsidR="00343CE3">
              <w:rPr>
                <w:sz w:val="24"/>
                <w:szCs w:val="24"/>
                <w:lang w:val="ro-MD"/>
              </w:rPr>
              <w:t>a fost</w:t>
            </w:r>
            <w:r w:rsidRPr="00105034">
              <w:rPr>
                <w:spacing w:val="43"/>
                <w:sz w:val="24"/>
                <w:szCs w:val="24"/>
                <w:lang w:val="ro-MD"/>
              </w:rPr>
              <w:t xml:space="preserve"> </w:t>
            </w:r>
            <w:r w:rsidRPr="00105034">
              <w:rPr>
                <w:sz w:val="24"/>
                <w:szCs w:val="24"/>
                <w:lang w:val="ro-MD"/>
              </w:rPr>
              <w:t>supus</w:t>
            </w:r>
            <w:r w:rsidRPr="00105034">
              <w:rPr>
                <w:spacing w:val="43"/>
                <w:sz w:val="24"/>
                <w:szCs w:val="24"/>
                <w:lang w:val="ro-MD"/>
              </w:rPr>
              <w:t xml:space="preserve"> </w:t>
            </w:r>
            <w:r w:rsidRPr="00105034">
              <w:rPr>
                <w:spacing w:val="-1"/>
                <w:sz w:val="24"/>
                <w:szCs w:val="24"/>
                <w:lang w:val="ro-MD"/>
              </w:rPr>
              <w:t>c</w:t>
            </w:r>
            <w:r w:rsidRPr="00105034">
              <w:rPr>
                <w:sz w:val="24"/>
                <w:szCs w:val="24"/>
                <w:lang w:val="ro-MD"/>
              </w:rPr>
              <w:t>onsultă</w:t>
            </w:r>
            <w:r w:rsidRPr="00105034">
              <w:rPr>
                <w:spacing w:val="-1"/>
                <w:sz w:val="24"/>
                <w:szCs w:val="24"/>
                <w:lang w:val="ro-MD"/>
              </w:rPr>
              <w:t>r</w:t>
            </w:r>
            <w:r w:rsidRPr="00105034">
              <w:rPr>
                <w:sz w:val="24"/>
                <w:szCs w:val="24"/>
                <w:lang w:val="ro-MD"/>
              </w:rPr>
              <w:t>i</w:t>
            </w:r>
            <w:r w:rsidRPr="00105034">
              <w:rPr>
                <w:spacing w:val="1"/>
                <w:sz w:val="24"/>
                <w:szCs w:val="24"/>
                <w:lang w:val="ro-MD"/>
              </w:rPr>
              <w:t>l</w:t>
            </w:r>
            <w:r w:rsidRPr="00105034">
              <w:rPr>
                <w:sz w:val="24"/>
                <w:szCs w:val="24"/>
                <w:lang w:val="ro-MD"/>
              </w:rPr>
              <w:t>or</w:t>
            </w:r>
            <w:r w:rsidRPr="00105034">
              <w:rPr>
                <w:spacing w:val="42"/>
                <w:sz w:val="24"/>
                <w:szCs w:val="24"/>
                <w:lang w:val="ro-MD"/>
              </w:rPr>
              <w:t xml:space="preserve"> </w:t>
            </w:r>
            <w:r w:rsidRPr="00105034">
              <w:rPr>
                <w:sz w:val="24"/>
                <w:szCs w:val="24"/>
                <w:lang w:val="ro-MD"/>
              </w:rPr>
              <w:t>pu</w:t>
            </w:r>
            <w:r w:rsidRPr="00105034">
              <w:rPr>
                <w:spacing w:val="-2"/>
                <w:sz w:val="24"/>
                <w:szCs w:val="24"/>
                <w:lang w:val="ro-MD"/>
              </w:rPr>
              <w:t>b</w:t>
            </w:r>
            <w:r w:rsidRPr="00105034">
              <w:rPr>
                <w:sz w:val="24"/>
                <w:szCs w:val="24"/>
                <w:lang w:val="ro-MD"/>
              </w:rPr>
              <w:t>l</w:t>
            </w:r>
            <w:r w:rsidRPr="00105034">
              <w:rPr>
                <w:spacing w:val="1"/>
                <w:sz w:val="24"/>
                <w:szCs w:val="24"/>
                <w:lang w:val="ro-MD"/>
              </w:rPr>
              <w:t>i</w:t>
            </w:r>
            <w:r w:rsidRPr="00105034">
              <w:rPr>
                <w:spacing w:val="-1"/>
                <w:sz w:val="24"/>
                <w:szCs w:val="24"/>
                <w:lang w:val="ro-MD"/>
              </w:rPr>
              <w:t>c</w:t>
            </w:r>
            <w:r w:rsidRPr="00105034">
              <w:rPr>
                <w:sz w:val="24"/>
                <w:szCs w:val="24"/>
                <w:lang w:val="ro-MD"/>
              </w:rPr>
              <w:t>e</w:t>
            </w:r>
            <w:r w:rsidRPr="00105034">
              <w:rPr>
                <w:spacing w:val="42"/>
                <w:sz w:val="24"/>
                <w:szCs w:val="24"/>
                <w:lang w:val="ro-MD"/>
              </w:rPr>
              <w:t xml:space="preserve"> </w:t>
            </w:r>
            <w:r w:rsidRPr="00105034">
              <w:rPr>
                <w:sz w:val="24"/>
                <w:szCs w:val="24"/>
                <w:lang w:val="ro-MD"/>
              </w:rPr>
              <w:t>și</w:t>
            </w:r>
            <w:r w:rsidRPr="00105034">
              <w:rPr>
                <w:spacing w:val="44"/>
                <w:sz w:val="24"/>
                <w:szCs w:val="24"/>
                <w:lang w:val="ro-MD"/>
              </w:rPr>
              <w:t xml:space="preserve"> </w:t>
            </w:r>
            <w:r w:rsidR="00735ADA" w:rsidRPr="00105034">
              <w:rPr>
                <w:spacing w:val="-1"/>
                <w:sz w:val="24"/>
                <w:szCs w:val="24"/>
                <w:lang w:val="ro-MD"/>
              </w:rPr>
              <w:t>a</w:t>
            </w:r>
            <w:r w:rsidRPr="00105034">
              <w:rPr>
                <w:sz w:val="24"/>
                <w:szCs w:val="24"/>
                <w:lang w:val="ro-MD"/>
              </w:rPr>
              <w:t>viz</w:t>
            </w:r>
            <w:r w:rsidRPr="00105034">
              <w:rPr>
                <w:spacing w:val="-1"/>
                <w:sz w:val="24"/>
                <w:szCs w:val="24"/>
                <w:lang w:val="ro-MD"/>
              </w:rPr>
              <w:t>ă</w:t>
            </w:r>
            <w:r w:rsidRPr="00105034">
              <w:rPr>
                <w:sz w:val="24"/>
                <w:szCs w:val="24"/>
                <w:lang w:val="ro-MD"/>
              </w:rPr>
              <w:t>rilor/</w:t>
            </w:r>
            <w:r w:rsidRPr="00105034">
              <w:rPr>
                <w:spacing w:val="-1"/>
                <w:sz w:val="24"/>
                <w:szCs w:val="24"/>
                <w:lang w:val="ro-MD"/>
              </w:rPr>
              <w:t>e</w:t>
            </w:r>
            <w:r w:rsidRPr="00105034">
              <w:rPr>
                <w:sz w:val="24"/>
                <w:szCs w:val="24"/>
                <w:lang w:val="ro-MD"/>
              </w:rPr>
              <w:t>xp</w:t>
            </w:r>
            <w:r w:rsidRPr="00105034">
              <w:rPr>
                <w:spacing w:val="-1"/>
                <w:sz w:val="24"/>
                <w:szCs w:val="24"/>
                <w:lang w:val="ro-MD"/>
              </w:rPr>
              <w:t>e</w:t>
            </w:r>
            <w:r w:rsidRPr="00105034">
              <w:rPr>
                <w:sz w:val="24"/>
                <w:szCs w:val="24"/>
                <w:lang w:val="ro-MD"/>
              </w:rPr>
              <w:t>rt</w:t>
            </w:r>
            <w:r w:rsidRPr="00105034">
              <w:rPr>
                <w:spacing w:val="2"/>
                <w:sz w:val="24"/>
                <w:szCs w:val="24"/>
                <w:lang w:val="ro-MD"/>
              </w:rPr>
              <w:t>i</w:t>
            </w:r>
            <w:r w:rsidRPr="00105034">
              <w:rPr>
                <w:spacing w:val="-1"/>
                <w:sz w:val="24"/>
                <w:szCs w:val="24"/>
                <w:lang w:val="ro-MD"/>
              </w:rPr>
              <w:t>ză</w:t>
            </w:r>
            <w:r w:rsidRPr="00105034">
              <w:rPr>
                <w:sz w:val="24"/>
                <w:szCs w:val="24"/>
                <w:lang w:val="ro-MD"/>
              </w:rPr>
              <w:t>rilor</w:t>
            </w:r>
            <w:r w:rsidRPr="00105034">
              <w:rPr>
                <w:spacing w:val="42"/>
                <w:sz w:val="24"/>
                <w:szCs w:val="24"/>
                <w:lang w:val="ro-MD"/>
              </w:rPr>
              <w:t xml:space="preserve"> </w:t>
            </w:r>
            <w:r w:rsidRPr="00105034">
              <w:rPr>
                <w:sz w:val="24"/>
                <w:szCs w:val="24"/>
                <w:lang w:val="ro-MD"/>
              </w:rPr>
              <w:t>de</w:t>
            </w:r>
            <w:r w:rsidR="00735ADA" w:rsidRPr="00105034">
              <w:rPr>
                <w:sz w:val="24"/>
                <w:szCs w:val="24"/>
                <w:lang w:val="ro-MD"/>
              </w:rPr>
              <w:t xml:space="preserve"> </w:t>
            </w:r>
            <w:r w:rsidRPr="00105034">
              <w:rPr>
                <w:spacing w:val="-1"/>
                <w:sz w:val="24"/>
                <w:szCs w:val="24"/>
                <w:lang w:val="ro-MD"/>
              </w:rPr>
              <w:t>că</w:t>
            </w:r>
            <w:r w:rsidRPr="00105034">
              <w:rPr>
                <w:sz w:val="24"/>
                <w:szCs w:val="24"/>
                <w:lang w:val="ro-MD"/>
              </w:rPr>
              <w:t>tre</w:t>
            </w:r>
            <w:r w:rsidRPr="00105034">
              <w:rPr>
                <w:spacing w:val="1"/>
                <w:sz w:val="24"/>
                <w:szCs w:val="24"/>
                <w:lang w:val="ro-MD"/>
              </w:rPr>
              <w:t xml:space="preserve"> </w:t>
            </w:r>
            <w:r w:rsidRPr="00105034">
              <w:rPr>
                <w:spacing w:val="-1"/>
                <w:sz w:val="24"/>
                <w:szCs w:val="24"/>
                <w:lang w:val="ro-MD"/>
              </w:rPr>
              <w:t>entitățile publice de resort, în conformitate cu prevederile Legii nr. 100/2017 cu privire</w:t>
            </w:r>
            <w:r w:rsidR="00735ADA" w:rsidRPr="00105034">
              <w:rPr>
                <w:spacing w:val="-1"/>
                <w:sz w:val="24"/>
                <w:szCs w:val="24"/>
                <w:lang w:val="ro-MD"/>
              </w:rPr>
              <w:t xml:space="preserve"> la actele normative</w:t>
            </w:r>
            <w:r w:rsidR="00105034" w:rsidRPr="00105034">
              <w:rPr>
                <w:spacing w:val="-1"/>
                <w:sz w:val="24"/>
                <w:szCs w:val="24"/>
                <w:lang w:val="ro-MD"/>
              </w:rPr>
              <w:t>, propunerile prezentate au fost incluse în sinteza obiecțiilor și propunerilor la proiect.</w:t>
            </w:r>
          </w:p>
          <w:p w:rsidR="00105034" w:rsidRPr="00105034" w:rsidRDefault="00105034" w:rsidP="00105034">
            <w:pPr>
              <w:pStyle w:val="a9"/>
              <w:ind w:firstLine="733"/>
              <w:rPr>
                <w:spacing w:val="-1"/>
                <w:sz w:val="24"/>
                <w:szCs w:val="24"/>
                <w:lang w:val="ro-MD"/>
              </w:rPr>
            </w:pPr>
            <w:r w:rsidRPr="00105034">
              <w:rPr>
                <w:spacing w:val="-1"/>
                <w:sz w:val="24"/>
                <w:szCs w:val="24"/>
                <w:lang w:val="ro-MD"/>
              </w:rPr>
              <w:t>La fel, proiectul va fi supus expertizei juridice și anticorupție de către:</w:t>
            </w:r>
          </w:p>
          <w:p w:rsidR="00105034" w:rsidRPr="00105034" w:rsidRDefault="00105034" w:rsidP="00105034">
            <w:pPr>
              <w:pStyle w:val="a9"/>
              <w:ind w:firstLine="733"/>
              <w:rPr>
                <w:spacing w:val="-1"/>
                <w:sz w:val="24"/>
                <w:szCs w:val="24"/>
                <w:lang w:val="ro-MD"/>
              </w:rPr>
            </w:pPr>
            <w:r w:rsidRPr="00105034">
              <w:rPr>
                <w:spacing w:val="-1"/>
                <w:sz w:val="24"/>
                <w:szCs w:val="24"/>
                <w:lang w:val="ro-MD"/>
              </w:rPr>
              <w:t>- Centrul Național Anticorupție;</w:t>
            </w:r>
          </w:p>
          <w:p w:rsidR="00105034" w:rsidRPr="00105034" w:rsidRDefault="00105034" w:rsidP="00105034">
            <w:pPr>
              <w:pStyle w:val="a9"/>
              <w:ind w:firstLine="733"/>
              <w:rPr>
                <w:spacing w:val="-1"/>
                <w:sz w:val="24"/>
                <w:szCs w:val="24"/>
                <w:lang w:val="ro-MD"/>
              </w:rPr>
            </w:pPr>
            <w:r w:rsidRPr="00105034">
              <w:rPr>
                <w:spacing w:val="-1"/>
                <w:sz w:val="24"/>
                <w:szCs w:val="24"/>
                <w:lang w:val="ro-MD"/>
              </w:rPr>
              <w:t>- Ministerul Justiției.</w:t>
            </w:r>
          </w:p>
          <w:p w:rsidR="00735ADA" w:rsidRDefault="00735ADA" w:rsidP="00724D41">
            <w:pPr>
              <w:spacing w:line="274" w:lineRule="exact"/>
              <w:ind w:right="-20" w:firstLine="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Totodată, în scopul respectării prevederilor Legii 239/2008 privind transparenta în procesul decizional, anunțul privind inițierea elaborării proiectului poate fi accesat la următorul link:</w:t>
            </w:r>
          </w:p>
          <w:p w:rsidR="00735ADA" w:rsidRDefault="00C41CB8" w:rsidP="00735ADA">
            <w:pPr>
              <w:spacing w:line="274" w:lineRule="exact"/>
              <w:ind w:right="-20" w:firstLine="702"/>
              <w:jc w:val="both"/>
              <w:rPr>
                <w:rFonts w:ascii="Times New Roman" w:eastAsia="Times New Roman" w:hAnsi="Times New Roman" w:cs="Times New Roman"/>
                <w:sz w:val="24"/>
                <w:szCs w:val="24"/>
              </w:rPr>
            </w:pPr>
            <w:hyperlink r:id="rId8" w:history="1">
              <w:r w:rsidR="00735ADA" w:rsidRPr="00D51854">
                <w:rPr>
                  <w:rStyle w:val="a6"/>
                  <w:rFonts w:ascii="Times New Roman" w:eastAsia="Times New Roman" w:hAnsi="Times New Roman" w:cs="Times New Roman"/>
                  <w:sz w:val="24"/>
                  <w:szCs w:val="24"/>
                </w:rPr>
                <w:t>https://particip.gov.md/ro/document/stages/anuntul-privind-initierea-elaborarii-regulamentului-privind-consultarea-populatiei-in-procesul-elaborarii-si-aprobarii-documentatiei-de-amenajare-a-teritoriului-si-de-urbanism/13819</w:t>
              </w:r>
            </w:hyperlink>
            <w:r w:rsidR="00735ADA">
              <w:rPr>
                <w:rFonts w:ascii="Times New Roman" w:eastAsia="Times New Roman" w:hAnsi="Times New Roman" w:cs="Times New Roman"/>
                <w:sz w:val="24"/>
                <w:szCs w:val="24"/>
              </w:rPr>
              <w:t xml:space="preserve"> </w:t>
            </w:r>
          </w:p>
          <w:p w:rsidR="005D2FBE" w:rsidRPr="00F36BBF" w:rsidRDefault="005D2FBE" w:rsidP="003D1188">
            <w:pPr>
              <w:spacing w:line="274" w:lineRule="exact"/>
              <w:ind w:right="-20" w:firstLine="702"/>
              <w:jc w:val="both"/>
              <w:rPr>
                <w:rFonts w:ascii="Times New Roman" w:eastAsia="Times New Roman" w:hAnsi="Times New Roman" w:cs="Times New Roman"/>
                <w:sz w:val="24"/>
                <w:szCs w:val="24"/>
              </w:rPr>
            </w:pPr>
            <w:r w:rsidRPr="005D2FBE">
              <w:rPr>
                <w:rFonts w:ascii="Times New Roman" w:eastAsia="Times New Roman" w:hAnsi="Times New Roman" w:cs="Times New Roman"/>
                <w:spacing w:val="-1"/>
                <w:sz w:val="24"/>
                <w:szCs w:val="24"/>
              </w:rPr>
              <w:t>La fel, proiectul este plasat pe paginile web nominalizate supra,  la următorul link:</w:t>
            </w:r>
            <w:r>
              <w:rPr>
                <w:rFonts w:ascii="Times New Roman" w:eastAsia="Times New Roman" w:hAnsi="Times New Roman" w:cs="Times New Roman"/>
                <w:spacing w:val="-1"/>
                <w:sz w:val="24"/>
                <w:szCs w:val="24"/>
              </w:rPr>
              <w:t xml:space="preserve"> </w:t>
            </w:r>
            <w:r w:rsidR="003D1188" w:rsidRPr="003D1188">
              <w:rPr>
                <w:rStyle w:val="a6"/>
                <w:rFonts w:ascii="Times New Roman" w:eastAsia="Times New Roman" w:hAnsi="Times New Roman" w:cs="Times New Roman"/>
                <w:sz w:val="24"/>
                <w:szCs w:val="24"/>
              </w:rPr>
              <w:t> </w:t>
            </w:r>
            <w:hyperlink r:id="rId9" w:tgtFrame="_blank" w:history="1">
              <w:r w:rsidR="003D1188" w:rsidRPr="003D1188">
                <w:rPr>
                  <w:rStyle w:val="a6"/>
                  <w:rFonts w:ascii="Times New Roman" w:eastAsia="Times New Roman" w:hAnsi="Times New Roman" w:cs="Times New Roman"/>
                  <w:sz w:val="24"/>
                  <w:szCs w:val="24"/>
                </w:rPr>
                <w:t>https://particip.gov.md/ro/document/stages/*/13819</w:t>
              </w:r>
            </w:hyperlink>
          </w:p>
        </w:tc>
      </w:tr>
      <w:tr w:rsidR="00A72467" w:rsidRPr="00F36BBF" w:rsidTr="0090612E">
        <w:tc>
          <w:tcPr>
            <w:tcW w:w="9630" w:type="dxa"/>
          </w:tcPr>
          <w:p w:rsidR="00A72467" w:rsidRPr="00F36BBF" w:rsidRDefault="00A72467" w:rsidP="00F36BBF">
            <w:pPr>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b/>
                <w:bCs/>
                <w:sz w:val="24"/>
                <w:szCs w:val="24"/>
              </w:rPr>
              <w:t>7. Co</w:t>
            </w:r>
            <w:r w:rsidRPr="00F36BBF">
              <w:rPr>
                <w:rFonts w:ascii="Times New Roman" w:eastAsia="Times New Roman" w:hAnsi="Times New Roman" w:cs="Times New Roman"/>
                <w:b/>
                <w:bCs/>
                <w:spacing w:val="1"/>
                <w:sz w:val="24"/>
                <w:szCs w:val="24"/>
              </w:rPr>
              <w:t>n</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pacing w:val="-1"/>
                <w:sz w:val="24"/>
                <w:szCs w:val="24"/>
              </w:rPr>
              <w:t>z</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i</w:t>
            </w:r>
            <w:r w:rsidRPr="00F36BBF">
              <w:rPr>
                <w:rFonts w:ascii="Times New Roman" w:eastAsia="Times New Roman" w:hAnsi="Times New Roman" w:cs="Times New Roman"/>
                <w:b/>
                <w:bCs/>
                <w:sz w:val="24"/>
                <w:szCs w:val="24"/>
              </w:rPr>
              <w:t>le</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z w:val="24"/>
                <w:szCs w:val="24"/>
              </w:rPr>
              <w:t>x</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pacing w:val="-1"/>
                <w:sz w:val="24"/>
                <w:szCs w:val="24"/>
              </w:rPr>
              <w:t>er</w:t>
            </w:r>
            <w:r w:rsidRPr="00F36BBF">
              <w:rPr>
                <w:rFonts w:ascii="Times New Roman" w:eastAsia="Times New Roman" w:hAnsi="Times New Roman" w:cs="Times New Roman"/>
                <w:b/>
                <w:bCs/>
                <w:sz w:val="24"/>
                <w:szCs w:val="24"/>
              </w:rPr>
              <w:t>ti</w:t>
            </w:r>
            <w:r w:rsidRPr="00F36BBF">
              <w:rPr>
                <w:rFonts w:ascii="Times New Roman" w:eastAsia="Times New Roman" w:hAnsi="Times New Roman" w:cs="Times New Roman"/>
                <w:b/>
                <w:bCs/>
                <w:spacing w:val="-1"/>
                <w:sz w:val="24"/>
                <w:szCs w:val="24"/>
              </w:rPr>
              <w:t>ze</w:t>
            </w:r>
            <w:r w:rsidRPr="00F36BBF">
              <w:rPr>
                <w:rFonts w:ascii="Times New Roman" w:eastAsia="Times New Roman" w:hAnsi="Times New Roman" w:cs="Times New Roman"/>
                <w:b/>
                <w:bCs/>
                <w:spacing w:val="3"/>
                <w:sz w:val="24"/>
                <w:szCs w:val="24"/>
              </w:rPr>
              <w:t>l</w:t>
            </w:r>
            <w:r w:rsidRPr="00F36BBF">
              <w:rPr>
                <w:rFonts w:ascii="Times New Roman" w:eastAsia="Times New Roman" w:hAnsi="Times New Roman" w:cs="Times New Roman"/>
                <w:b/>
                <w:bCs/>
                <w:sz w:val="24"/>
                <w:szCs w:val="24"/>
              </w:rPr>
              <w:t>or</w:t>
            </w:r>
          </w:p>
        </w:tc>
      </w:tr>
      <w:tr w:rsidR="00A72467" w:rsidRPr="00F36BBF" w:rsidTr="0090612E">
        <w:tc>
          <w:tcPr>
            <w:tcW w:w="9630" w:type="dxa"/>
          </w:tcPr>
          <w:p w:rsidR="00724D41" w:rsidRPr="00724D41" w:rsidRDefault="00724D41" w:rsidP="00FC1112">
            <w:pPr>
              <w:widowControl/>
              <w:spacing w:line="20" w:lineRule="atLeast"/>
              <w:ind w:firstLine="702"/>
              <w:jc w:val="both"/>
              <w:rPr>
                <w:rFonts w:ascii="Times New Roman" w:eastAsia="Times New Roman" w:hAnsi="Times New Roman" w:cs="Times New Roman"/>
                <w:sz w:val="24"/>
                <w:szCs w:val="24"/>
              </w:rPr>
            </w:pPr>
            <w:r w:rsidRPr="00724D41">
              <w:rPr>
                <w:rFonts w:ascii="Times New Roman" w:eastAsia="Times New Roman" w:hAnsi="Times New Roman" w:cs="Times New Roman"/>
                <w:sz w:val="24"/>
                <w:szCs w:val="24"/>
              </w:rPr>
              <w:t xml:space="preserve">Proiectul Hotărârii de Guvern </w:t>
            </w:r>
            <w:r w:rsidR="00893DCA">
              <w:rPr>
                <w:rFonts w:ascii="Times New Roman" w:eastAsia="Times New Roman" w:hAnsi="Times New Roman" w:cs="Times New Roman"/>
                <w:sz w:val="24"/>
                <w:szCs w:val="24"/>
              </w:rPr>
              <w:t xml:space="preserve"> a fost</w:t>
            </w:r>
            <w:r w:rsidRPr="00724D41">
              <w:rPr>
                <w:rFonts w:ascii="Times New Roman" w:eastAsia="Times New Roman" w:hAnsi="Times New Roman" w:cs="Times New Roman"/>
                <w:sz w:val="24"/>
                <w:szCs w:val="24"/>
              </w:rPr>
              <w:t xml:space="preserve"> supus expertizei juridice, în conformitate cu articolul 37 din Legea nr. 100/2017 privind actele normative, precum și expertizei anticorupție, conform articolului 36 din aceeași lege.</w:t>
            </w:r>
          </w:p>
          <w:p w:rsidR="00242F56" w:rsidRDefault="00B17041" w:rsidP="00FC1112">
            <w:pPr>
              <w:widowControl/>
              <w:spacing w:line="20" w:lineRule="atLeast"/>
              <w:ind w:firstLine="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Urmare a raportului de expertiză anticorupție nr, EHG nr. 25/10493 din 14.04.2025, Centrul Național Anticorupție a concluzionat că, proiectul Regulamentului stabilește </w:t>
            </w:r>
            <w:r w:rsidRPr="00FC1112">
              <w:rPr>
                <w:rFonts w:ascii="Times New Roman" w:eastAsia="Times New Roman" w:hAnsi="Times New Roman" w:cs="Times New Roman"/>
                <w:sz w:val="24"/>
                <w:szCs w:val="24"/>
              </w:rPr>
              <w:t>cadrul procedural pentru organizarea și desfășurarea informării și consultării publice în procesul de elaborare, modificare și aprobare a documentației de amenajare a teritoriului și de urbanism, în conformitate cu principiile transparenței, nediscriminării și incluziunii sociale, promovând o planificare urbană participativă</w:t>
            </w:r>
            <w:r w:rsidR="00D54B71">
              <w:rPr>
                <w:rFonts w:ascii="Times New Roman" w:eastAsia="Times New Roman" w:hAnsi="Times New Roman" w:cs="Times New Roman"/>
                <w:sz w:val="24"/>
                <w:szCs w:val="24"/>
              </w:rPr>
              <w:t xml:space="preserve"> și </w:t>
            </w:r>
            <w:r w:rsidRPr="00FC1112">
              <w:rPr>
                <w:rFonts w:ascii="Times New Roman" w:eastAsia="Times New Roman" w:hAnsi="Times New Roman" w:cs="Times New Roman"/>
                <w:sz w:val="24"/>
                <w:szCs w:val="24"/>
              </w:rPr>
              <w:t>redacția propusă, proiectul nu conține factori și riscuri de corupție.</w:t>
            </w:r>
            <w:r>
              <w:rPr>
                <w:rFonts w:ascii="Times New Roman" w:eastAsia="Times New Roman" w:hAnsi="Times New Roman" w:cs="Times New Roman"/>
                <w:sz w:val="24"/>
                <w:szCs w:val="24"/>
              </w:rPr>
              <w:t xml:space="preserve"> </w:t>
            </w:r>
          </w:p>
          <w:p w:rsidR="00242F56" w:rsidRDefault="00242F56" w:rsidP="00FC1112">
            <w:pPr>
              <w:widowControl/>
              <w:spacing w:line="20" w:lineRule="atLeast"/>
              <w:ind w:firstLine="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 expertizei juridice nr. 04/2-3845 din 17.04.2025, Ministerul Justiției nu a identificat obiecții de ordin conceptual.</w:t>
            </w:r>
          </w:p>
          <w:p w:rsidR="00A72467" w:rsidRPr="00F36BBF" w:rsidRDefault="00D54B71" w:rsidP="00FC1112">
            <w:pPr>
              <w:widowControl/>
              <w:spacing w:line="20" w:lineRule="atLeast"/>
              <w:ind w:firstLine="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42F56">
              <w:rPr>
                <w:rFonts w:ascii="Times New Roman" w:eastAsia="Times New Roman" w:hAnsi="Times New Roman" w:cs="Times New Roman"/>
                <w:sz w:val="24"/>
                <w:szCs w:val="24"/>
              </w:rPr>
              <w:t xml:space="preserve">otodată au fost prezentate unele propuneri de tehnică legislativă, care au fost luate în considerare la definitivarea proiectului.  </w:t>
            </w:r>
          </w:p>
        </w:tc>
      </w:tr>
      <w:tr w:rsidR="00A72467" w:rsidRPr="00F36BBF" w:rsidTr="0090612E">
        <w:tc>
          <w:tcPr>
            <w:tcW w:w="9630" w:type="dxa"/>
          </w:tcPr>
          <w:p w:rsidR="00A72467" w:rsidRPr="00F36BBF" w:rsidRDefault="00A72467" w:rsidP="00F36BBF">
            <w:pPr>
              <w:spacing w:line="274" w:lineRule="exact"/>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b/>
                <w:bCs/>
                <w:sz w:val="24"/>
                <w:szCs w:val="24"/>
              </w:rPr>
              <w:t xml:space="preserve">8. </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1"/>
                <w:sz w:val="24"/>
                <w:szCs w:val="24"/>
              </w:rPr>
              <w:t>du</w:t>
            </w:r>
            <w:r w:rsidRPr="00F36BBF">
              <w:rPr>
                <w:rFonts w:ascii="Times New Roman" w:eastAsia="Times New Roman" w:hAnsi="Times New Roman" w:cs="Times New Roman"/>
                <w:b/>
                <w:bCs/>
                <w:sz w:val="24"/>
                <w:szCs w:val="24"/>
              </w:rPr>
              <w:t>l</w:t>
            </w:r>
            <w:r w:rsidRPr="00F36BBF">
              <w:rPr>
                <w:rFonts w:ascii="Times New Roman" w:eastAsia="Times New Roman" w:hAnsi="Times New Roman" w:cs="Times New Roman"/>
                <w:b/>
                <w:bCs/>
                <w:spacing w:val="2"/>
                <w:sz w:val="24"/>
                <w:szCs w:val="24"/>
              </w:rPr>
              <w:t xml:space="preserve"> </w:t>
            </w:r>
            <w:r w:rsidRPr="00F36BBF">
              <w:rPr>
                <w:rFonts w:ascii="Times New Roman" w:eastAsia="Times New Roman" w:hAnsi="Times New Roman" w:cs="Times New Roman"/>
                <w:b/>
                <w:bCs/>
                <w:spacing w:val="1"/>
                <w:sz w:val="24"/>
                <w:szCs w:val="24"/>
              </w:rPr>
              <w:t>d</w:t>
            </w:r>
            <w:r w:rsidRPr="00F36BBF">
              <w:rPr>
                <w:rFonts w:ascii="Times New Roman" w:eastAsia="Times New Roman" w:hAnsi="Times New Roman" w:cs="Times New Roman"/>
                <w:b/>
                <w:bCs/>
                <w:sz w:val="24"/>
                <w:szCs w:val="24"/>
              </w:rPr>
              <w:t>e</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î</w:t>
            </w:r>
            <w:r w:rsidRPr="00F36BBF">
              <w:rPr>
                <w:rFonts w:ascii="Times New Roman" w:eastAsia="Times New Roman" w:hAnsi="Times New Roman" w:cs="Times New Roman"/>
                <w:b/>
                <w:bCs/>
                <w:spacing w:val="1"/>
                <w:sz w:val="24"/>
                <w:szCs w:val="24"/>
              </w:rPr>
              <w:t>n</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e a a</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z w:val="24"/>
                <w:szCs w:val="24"/>
              </w:rPr>
              <w:t>în</w:t>
            </w:r>
            <w:r w:rsidRPr="00F36BBF">
              <w:rPr>
                <w:rFonts w:ascii="Times New Roman" w:eastAsia="Times New Roman" w:hAnsi="Times New Roman" w:cs="Times New Roman"/>
                <w:b/>
                <w:bCs/>
                <w:spacing w:val="1"/>
                <w:sz w:val="24"/>
                <w:szCs w:val="24"/>
              </w:rPr>
              <w:t xml:space="preserve"> </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d</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l</w:t>
            </w:r>
            <w:r w:rsidRPr="00F36BBF">
              <w:rPr>
                <w:rFonts w:ascii="Times New Roman" w:eastAsia="Times New Roman" w:hAnsi="Times New Roman" w:cs="Times New Roman"/>
                <w:b/>
                <w:bCs/>
                <w:spacing w:val="1"/>
                <w:sz w:val="24"/>
                <w:szCs w:val="24"/>
              </w:rPr>
              <w:t xml:space="preserve"> n</w:t>
            </w:r>
            <w:r w:rsidRPr="00F36BBF">
              <w:rPr>
                <w:rFonts w:ascii="Times New Roman" w:eastAsia="Times New Roman" w:hAnsi="Times New Roman" w:cs="Times New Roman"/>
                <w:b/>
                <w:bCs/>
                <w:spacing w:val="-2"/>
                <w:sz w:val="24"/>
                <w:szCs w:val="24"/>
              </w:rPr>
              <w:t>o</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z w:val="24"/>
                <w:szCs w:val="24"/>
              </w:rPr>
              <w:t xml:space="preserve">ativ </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z w:val="24"/>
                <w:szCs w:val="24"/>
              </w:rPr>
              <w:t>xist</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pacing w:val="1"/>
                <w:sz w:val="24"/>
                <w:szCs w:val="24"/>
              </w:rPr>
              <w:t>n</w:t>
            </w:r>
            <w:r w:rsidRPr="00F36BBF">
              <w:rPr>
                <w:rFonts w:ascii="Times New Roman" w:eastAsia="Times New Roman" w:hAnsi="Times New Roman" w:cs="Times New Roman"/>
                <w:b/>
                <w:bCs/>
                <w:sz w:val="24"/>
                <w:szCs w:val="24"/>
              </w:rPr>
              <w:t>t</w:t>
            </w:r>
          </w:p>
        </w:tc>
      </w:tr>
      <w:tr w:rsidR="00A72467" w:rsidRPr="00F36BBF" w:rsidTr="0090612E">
        <w:tc>
          <w:tcPr>
            <w:tcW w:w="9630" w:type="dxa"/>
          </w:tcPr>
          <w:p w:rsidR="00A72467" w:rsidRPr="00F36BBF" w:rsidRDefault="00A72467" w:rsidP="00F36BBF">
            <w:pPr>
              <w:ind w:right="-20" w:firstLine="702"/>
              <w:rPr>
                <w:rFonts w:ascii="Times New Roman" w:eastAsia="Times New Roman" w:hAnsi="Times New Roman" w:cs="Times New Roman"/>
                <w:sz w:val="24"/>
                <w:szCs w:val="24"/>
              </w:rPr>
            </w:pPr>
            <w:r w:rsidRPr="00F36BBF">
              <w:rPr>
                <w:rFonts w:ascii="Times New Roman" w:eastAsia="Times New Roman" w:hAnsi="Times New Roman" w:cs="Times New Roman"/>
                <w:spacing w:val="1"/>
                <w:sz w:val="24"/>
                <w:szCs w:val="24"/>
              </w:rPr>
              <w:t>P</w:t>
            </w:r>
            <w:r w:rsidRPr="00F36BBF">
              <w:rPr>
                <w:rFonts w:ascii="Times New Roman" w:eastAsia="Times New Roman" w:hAnsi="Times New Roman" w:cs="Times New Roman"/>
                <w:sz w:val="24"/>
                <w:szCs w:val="24"/>
              </w:rPr>
              <w:t>roi</w:t>
            </w:r>
            <w:r w:rsidRPr="00F36BBF">
              <w:rPr>
                <w:rFonts w:ascii="Times New Roman" w:eastAsia="Times New Roman" w:hAnsi="Times New Roman" w:cs="Times New Roman"/>
                <w:spacing w:val="-1"/>
                <w:sz w:val="24"/>
                <w:szCs w:val="24"/>
              </w:rPr>
              <w:t>ec</w:t>
            </w:r>
            <w:r w:rsidRPr="00F36BBF">
              <w:rPr>
                <w:rFonts w:ascii="Times New Roman" w:eastAsia="Times New Roman" w:hAnsi="Times New Roman" w:cs="Times New Roman"/>
                <w:sz w:val="24"/>
                <w:szCs w:val="24"/>
              </w:rPr>
              <w:t>tul</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 xml:space="preserve">nu </w:t>
            </w:r>
            <w:r w:rsidRPr="00F36BBF">
              <w:rPr>
                <w:rFonts w:ascii="Times New Roman" w:eastAsia="Times New Roman" w:hAnsi="Times New Roman" w:cs="Times New Roman"/>
                <w:spacing w:val="-1"/>
                <w:sz w:val="24"/>
                <w:szCs w:val="24"/>
              </w:rPr>
              <w:t>c</w:t>
            </w:r>
            <w:r w:rsidRPr="00F36BBF">
              <w:rPr>
                <w:rFonts w:ascii="Times New Roman" w:eastAsia="Times New Roman" w:hAnsi="Times New Roman" w:cs="Times New Roman"/>
                <w:sz w:val="24"/>
                <w:szCs w:val="24"/>
              </w:rPr>
              <w:t>ontr</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 xml:space="preserve">vine </w:t>
            </w:r>
            <w:r w:rsidRPr="00F36BBF">
              <w:rPr>
                <w:rFonts w:ascii="Times New Roman" w:eastAsia="Times New Roman" w:hAnsi="Times New Roman" w:cs="Times New Roman"/>
                <w:spacing w:val="2"/>
                <w:sz w:val="24"/>
                <w:szCs w:val="24"/>
              </w:rPr>
              <w:t>l</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gis</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ț</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i național</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w:t>
            </w:r>
          </w:p>
        </w:tc>
      </w:tr>
      <w:tr w:rsidR="00A72467" w:rsidRPr="00F36BBF" w:rsidTr="0090612E">
        <w:tc>
          <w:tcPr>
            <w:tcW w:w="9630" w:type="dxa"/>
          </w:tcPr>
          <w:p w:rsidR="00A72467" w:rsidRPr="00F36BBF" w:rsidRDefault="00A72467" w:rsidP="00F36BBF">
            <w:pPr>
              <w:spacing w:before="1" w:line="276" w:lineRule="exact"/>
              <w:ind w:right="37" w:firstLine="702"/>
              <w:rPr>
                <w:rFonts w:ascii="Times New Roman" w:eastAsia="Times New Roman" w:hAnsi="Times New Roman" w:cs="Times New Roman"/>
                <w:sz w:val="24"/>
                <w:szCs w:val="24"/>
              </w:rPr>
            </w:pPr>
            <w:r w:rsidRPr="00F36BBF">
              <w:rPr>
                <w:rFonts w:ascii="Times New Roman" w:eastAsia="Times New Roman" w:hAnsi="Times New Roman" w:cs="Times New Roman"/>
                <w:b/>
                <w:bCs/>
                <w:sz w:val="24"/>
                <w:szCs w:val="24"/>
              </w:rPr>
              <w:t xml:space="preserve">9. </w:t>
            </w:r>
            <w:r w:rsidRPr="00F36BBF">
              <w:rPr>
                <w:rFonts w:ascii="Times New Roman" w:eastAsia="Times New Roman" w:hAnsi="Times New Roman" w:cs="Times New Roman"/>
                <w:b/>
                <w:bCs/>
                <w:spacing w:val="2"/>
                <w:sz w:val="24"/>
                <w:szCs w:val="24"/>
              </w:rPr>
              <w:t xml:space="preserve"> </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z w:val="24"/>
                <w:szCs w:val="24"/>
              </w:rPr>
              <w:t>ăs</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pacing w:val="1"/>
                <w:sz w:val="24"/>
                <w:szCs w:val="24"/>
              </w:rPr>
              <w:t>i</w:t>
            </w:r>
            <w:r w:rsidRPr="00F36BBF">
              <w:rPr>
                <w:rFonts w:ascii="Times New Roman" w:eastAsia="Times New Roman" w:hAnsi="Times New Roman" w:cs="Times New Roman"/>
                <w:b/>
                <w:bCs/>
                <w:sz w:val="24"/>
                <w:szCs w:val="24"/>
              </w:rPr>
              <w:t xml:space="preserve">le </w:t>
            </w:r>
            <w:r w:rsidRPr="00F36BBF">
              <w:rPr>
                <w:rFonts w:ascii="Times New Roman" w:eastAsia="Times New Roman" w:hAnsi="Times New Roman" w:cs="Times New Roman"/>
                <w:b/>
                <w:bCs/>
                <w:spacing w:val="1"/>
                <w:sz w:val="24"/>
                <w:szCs w:val="24"/>
              </w:rPr>
              <w:t xml:space="preserve"> n</w:t>
            </w:r>
            <w:r w:rsidRPr="00F36BBF">
              <w:rPr>
                <w:rFonts w:ascii="Times New Roman" w:eastAsia="Times New Roman" w:hAnsi="Times New Roman" w:cs="Times New Roman"/>
                <w:b/>
                <w:bCs/>
                <w:spacing w:val="-1"/>
                <w:sz w:val="24"/>
                <w:szCs w:val="24"/>
              </w:rPr>
              <w:t>ece</w:t>
            </w:r>
            <w:r w:rsidRPr="00F36BBF">
              <w:rPr>
                <w:rFonts w:ascii="Times New Roman" w:eastAsia="Times New Roman" w:hAnsi="Times New Roman" w:cs="Times New Roman"/>
                <w:b/>
                <w:bCs/>
                <w:sz w:val="24"/>
                <w:szCs w:val="24"/>
              </w:rPr>
              <w:t>s</w:t>
            </w:r>
            <w:r w:rsidRPr="00F36BBF">
              <w:rPr>
                <w:rFonts w:ascii="Times New Roman" w:eastAsia="Times New Roman" w:hAnsi="Times New Roman" w:cs="Times New Roman"/>
                <w:b/>
                <w:bCs/>
                <w:spacing w:val="2"/>
                <w:sz w:val="24"/>
                <w:szCs w:val="24"/>
              </w:rPr>
              <w:t>a</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 xml:space="preserve">e </w:t>
            </w:r>
            <w:r w:rsidRPr="00F36BBF">
              <w:rPr>
                <w:rFonts w:ascii="Times New Roman" w:eastAsia="Times New Roman" w:hAnsi="Times New Roman" w:cs="Times New Roman"/>
                <w:b/>
                <w:bCs/>
                <w:spacing w:val="4"/>
                <w:sz w:val="24"/>
                <w:szCs w:val="24"/>
              </w:rPr>
              <w:t xml:space="preserve"> </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pacing w:val="1"/>
                <w:sz w:val="24"/>
                <w:szCs w:val="24"/>
              </w:rPr>
              <w:t>n</w:t>
            </w:r>
            <w:r w:rsidRPr="00F36BBF">
              <w:rPr>
                <w:rFonts w:ascii="Times New Roman" w:eastAsia="Times New Roman" w:hAnsi="Times New Roman" w:cs="Times New Roman"/>
                <w:b/>
                <w:bCs/>
                <w:sz w:val="24"/>
                <w:szCs w:val="24"/>
              </w:rPr>
              <w:t>t</w:t>
            </w:r>
            <w:r w:rsidRPr="00F36BBF">
              <w:rPr>
                <w:rFonts w:ascii="Times New Roman" w:eastAsia="Times New Roman" w:hAnsi="Times New Roman" w:cs="Times New Roman"/>
                <w:b/>
                <w:bCs/>
                <w:spacing w:val="-2"/>
                <w:sz w:val="24"/>
                <w:szCs w:val="24"/>
              </w:rPr>
              <w:t>r</w:t>
            </w:r>
            <w:r w:rsidRPr="00F36BBF">
              <w:rPr>
                <w:rFonts w:ascii="Times New Roman" w:eastAsia="Times New Roman" w:hAnsi="Times New Roman" w:cs="Times New Roman"/>
                <w:b/>
                <w:bCs/>
                <w:sz w:val="24"/>
                <w:szCs w:val="24"/>
              </w:rPr>
              <w:t xml:space="preserve">u </w:t>
            </w:r>
            <w:r w:rsidRPr="00F36BBF">
              <w:rPr>
                <w:rFonts w:ascii="Times New Roman" w:eastAsia="Times New Roman" w:hAnsi="Times New Roman" w:cs="Times New Roman"/>
                <w:b/>
                <w:bCs/>
                <w:spacing w:val="4"/>
                <w:sz w:val="24"/>
                <w:szCs w:val="24"/>
              </w:rPr>
              <w:t xml:space="preserve"> </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2"/>
                <w:sz w:val="24"/>
                <w:szCs w:val="24"/>
              </w:rPr>
              <w:t>m</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z w:val="24"/>
                <w:szCs w:val="24"/>
              </w:rPr>
              <w:t>l</w:t>
            </w:r>
            <w:r w:rsidRPr="00F36BBF">
              <w:rPr>
                <w:rFonts w:ascii="Times New Roman" w:eastAsia="Times New Roman" w:hAnsi="Times New Roman" w:cs="Times New Roman"/>
                <w:b/>
                <w:bCs/>
                <w:spacing w:val="-3"/>
                <w:sz w:val="24"/>
                <w:szCs w:val="24"/>
              </w:rPr>
              <w:t>e</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pacing w:val="1"/>
                <w:sz w:val="24"/>
                <w:szCs w:val="24"/>
              </w:rPr>
              <w:t>n</w:t>
            </w:r>
            <w:r w:rsidRPr="00F36BBF">
              <w:rPr>
                <w:rFonts w:ascii="Times New Roman" w:eastAsia="Times New Roman" w:hAnsi="Times New Roman" w:cs="Times New Roman"/>
                <w:b/>
                <w:bCs/>
                <w:sz w:val="24"/>
                <w:szCs w:val="24"/>
              </w:rPr>
              <w:t>ta</w:t>
            </w:r>
            <w:r w:rsidRPr="00F36BBF">
              <w:rPr>
                <w:rFonts w:ascii="Times New Roman" w:eastAsia="Times New Roman" w:hAnsi="Times New Roman" w:cs="Times New Roman"/>
                <w:b/>
                <w:bCs/>
                <w:spacing w:val="-2"/>
                <w:sz w:val="24"/>
                <w:szCs w:val="24"/>
              </w:rPr>
              <w:t>r</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z w:val="24"/>
                <w:szCs w:val="24"/>
              </w:rPr>
              <w:t xml:space="preserve">a </w:t>
            </w:r>
            <w:r w:rsidRPr="00F36BBF">
              <w:rPr>
                <w:rFonts w:ascii="Times New Roman" w:eastAsia="Times New Roman" w:hAnsi="Times New Roman" w:cs="Times New Roman"/>
                <w:b/>
                <w:bCs/>
                <w:spacing w:val="4"/>
                <w:sz w:val="24"/>
                <w:szCs w:val="24"/>
              </w:rPr>
              <w:t xml:space="preserve"> </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pacing w:val="-1"/>
                <w:sz w:val="24"/>
                <w:szCs w:val="24"/>
              </w:rPr>
              <w:t>re</w:t>
            </w:r>
            <w:r w:rsidRPr="00F36BBF">
              <w:rPr>
                <w:rFonts w:ascii="Times New Roman" w:eastAsia="Times New Roman" w:hAnsi="Times New Roman" w:cs="Times New Roman"/>
                <w:b/>
                <w:bCs/>
                <w:sz w:val="24"/>
                <w:szCs w:val="24"/>
              </w:rPr>
              <w:t>v</w:t>
            </w:r>
            <w:r w:rsidRPr="00F36BBF">
              <w:rPr>
                <w:rFonts w:ascii="Times New Roman" w:eastAsia="Times New Roman" w:hAnsi="Times New Roman" w:cs="Times New Roman"/>
                <w:b/>
                <w:bCs/>
                <w:spacing w:val="-1"/>
                <w:sz w:val="24"/>
                <w:szCs w:val="24"/>
              </w:rPr>
              <w:t>e</w:t>
            </w:r>
            <w:r w:rsidRPr="00F36BBF">
              <w:rPr>
                <w:rFonts w:ascii="Times New Roman" w:eastAsia="Times New Roman" w:hAnsi="Times New Roman" w:cs="Times New Roman"/>
                <w:b/>
                <w:bCs/>
                <w:spacing w:val="1"/>
                <w:sz w:val="24"/>
                <w:szCs w:val="24"/>
              </w:rPr>
              <w:t>d</w:t>
            </w:r>
            <w:r w:rsidRPr="00F36BBF">
              <w:rPr>
                <w:rFonts w:ascii="Times New Roman" w:eastAsia="Times New Roman" w:hAnsi="Times New Roman" w:cs="Times New Roman"/>
                <w:b/>
                <w:bCs/>
                <w:spacing w:val="-1"/>
                <w:sz w:val="24"/>
                <w:szCs w:val="24"/>
              </w:rPr>
              <w:t>er</w:t>
            </w:r>
            <w:r w:rsidRPr="00F36BBF">
              <w:rPr>
                <w:rFonts w:ascii="Times New Roman" w:eastAsia="Times New Roman" w:hAnsi="Times New Roman" w:cs="Times New Roman"/>
                <w:b/>
                <w:bCs/>
                <w:sz w:val="24"/>
                <w:szCs w:val="24"/>
              </w:rPr>
              <w:t>i</w:t>
            </w:r>
            <w:r w:rsidRPr="00F36BBF">
              <w:rPr>
                <w:rFonts w:ascii="Times New Roman" w:eastAsia="Times New Roman" w:hAnsi="Times New Roman" w:cs="Times New Roman"/>
                <w:b/>
                <w:bCs/>
                <w:spacing w:val="1"/>
                <w:sz w:val="24"/>
                <w:szCs w:val="24"/>
              </w:rPr>
              <w:t>l</w:t>
            </w:r>
            <w:r w:rsidRPr="00F36BBF">
              <w:rPr>
                <w:rFonts w:ascii="Times New Roman" w:eastAsia="Times New Roman" w:hAnsi="Times New Roman" w:cs="Times New Roman"/>
                <w:b/>
                <w:bCs/>
                <w:sz w:val="24"/>
                <w:szCs w:val="24"/>
              </w:rPr>
              <w:t xml:space="preserve">or </w:t>
            </w:r>
            <w:r w:rsidRPr="00F36BBF">
              <w:rPr>
                <w:rFonts w:ascii="Times New Roman" w:eastAsia="Times New Roman" w:hAnsi="Times New Roman" w:cs="Times New Roman"/>
                <w:b/>
                <w:bCs/>
                <w:spacing w:val="3"/>
                <w:sz w:val="24"/>
                <w:szCs w:val="24"/>
              </w:rPr>
              <w:t xml:space="preserve"> </w:t>
            </w:r>
            <w:r w:rsidRPr="00F36BBF">
              <w:rPr>
                <w:rFonts w:ascii="Times New Roman" w:eastAsia="Times New Roman" w:hAnsi="Times New Roman" w:cs="Times New Roman"/>
                <w:b/>
                <w:bCs/>
                <w:spacing w:val="1"/>
                <w:sz w:val="24"/>
                <w:szCs w:val="24"/>
              </w:rPr>
              <w:t>p</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3"/>
                <w:sz w:val="24"/>
                <w:szCs w:val="24"/>
              </w:rPr>
              <w:t>i</w:t>
            </w:r>
            <w:r w:rsidRPr="00F36BBF">
              <w:rPr>
                <w:rFonts w:ascii="Times New Roman" w:eastAsia="Times New Roman" w:hAnsi="Times New Roman" w:cs="Times New Roman"/>
                <w:b/>
                <w:bCs/>
                <w:spacing w:val="-1"/>
                <w:sz w:val="24"/>
                <w:szCs w:val="24"/>
              </w:rPr>
              <w:t>ec</w:t>
            </w:r>
            <w:r w:rsidRPr="00F36BBF">
              <w:rPr>
                <w:rFonts w:ascii="Times New Roman" w:eastAsia="Times New Roman" w:hAnsi="Times New Roman" w:cs="Times New Roman"/>
                <w:b/>
                <w:bCs/>
                <w:sz w:val="24"/>
                <w:szCs w:val="24"/>
              </w:rPr>
              <w:t>tu</w:t>
            </w:r>
            <w:r w:rsidRPr="00F36BBF">
              <w:rPr>
                <w:rFonts w:ascii="Times New Roman" w:eastAsia="Times New Roman" w:hAnsi="Times New Roman" w:cs="Times New Roman"/>
                <w:b/>
                <w:bCs/>
                <w:spacing w:val="3"/>
                <w:sz w:val="24"/>
                <w:szCs w:val="24"/>
              </w:rPr>
              <w:t>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 xml:space="preserve">i </w:t>
            </w:r>
            <w:r w:rsidRPr="00F36BBF">
              <w:rPr>
                <w:rFonts w:ascii="Times New Roman" w:eastAsia="Times New Roman" w:hAnsi="Times New Roman" w:cs="Times New Roman"/>
                <w:b/>
                <w:bCs/>
                <w:spacing w:val="4"/>
                <w:sz w:val="24"/>
                <w:szCs w:val="24"/>
              </w:rPr>
              <w:t xml:space="preserve"> </w:t>
            </w:r>
            <w:r w:rsidRPr="00F36BBF">
              <w:rPr>
                <w:rFonts w:ascii="Times New Roman" w:eastAsia="Times New Roman" w:hAnsi="Times New Roman" w:cs="Times New Roman"/>
                <w:b/>
                <w:bCs/>
                <w:sz w:val="24"/>
                <w:szCs w:val="24"/>
              </w:rPr>
              <w:t>a</w:t>
            </w:r>
            <w:r w:rsidRPr="00F36BBF">
              <w:rPr>
                <w:rFonts w:ascii="Times New Roman" w:eastAsia="Times New Roman" w:hAnsi="Times New Roman" w:cs="Times New Roman"/>
                <w:b/>
                <w:bCs/>
                <w:spacing w:val="-1"/>
                <w:sz w:val="24"/>
                <w:szCs w:val="24"/>
              </w:rPr>
              <w:t>c</w:t>
            </w:r>
            <w:r w:rsidRPr="00F36BBF">
              <w:rPr>
                <w:rFonts w:ascii="Times New Roman" w:eastAsia="Times New Roman" w:hAnsi="Times New Roman" w:cs="Times New Roman"/>
                <w:b/>
                <w:bCs/>
                <w:sz w:val="24"/>
                <w:szCs w:val="24"/>
              </w:rPr>
              <w:t>tul</w:t>
            </w:r>
            <w:r w:rsidRPr="00F36BBF">
              <w:rPr>
                <w:rFonts w:ascii="Times New Roman" w:eastAsia="Times New Roman" w:hAnsi="Times New Roman" w:cs="Times New Roman"/>
                <w:b/>
                <w:bCs/>
                <w:spacing w:val="1"/>
                <w:sz w:val="24"/>
                <w:szCs w:val="24"/>
              </w:rPr>
              <w:t>u</w:t>
            </w:r>
            <w:r w:rsidRPr="00F36BBF">
              <w:rPr>
                <w:rFonts w:ascii="Times New Roman" w:eastAsia="Times New Roman" w:hAnsi="Times New Roman" w:cs="Times New Roman"/>
                <w:b/>
                <w:bCs/>
                <w:sz w:val="24"/>
                <w:szCs w:val="24"/>
              </w:rPr>
              <w:t xml:space="preserve">i </w:t>
            </w:r>
            <w:r w:rsidRPr="00F36BBF">
              <w:rPr>
                <w:rFonts w:ascii="Times New Roman" w:eastAsia="Times New Roman" w:hAnsi="Times New Roman" w:cs="Times New Roman"/>
                <w:b/>
                <w:bCs/>
                <w:spacing w:val="1"/>
                <w:sz w:val="24"/>
                <w:szCs w:val="24"/>
              </w:rPr>
              <w:t>n</w:t>
            </w:r>
            <w:r w:rsidRPr="00F36BBF">
              <w:rPr>
                <w:rFonts w:ascii="Times New Roman" w:eastAsia="Times New Roman" w:hAnsi="Times New Roman" w:cs="Times New Roman"/>
                <w:b/>
                <w:bCs/>
                <w:sz w:val="24"/>
                <w:szCs w:val="24"/>
              </w:rPr>
              <w:t>o</w:t>
            </w:r>
            <w:r w:rsidRPr="00F36BBF">
              <w:rPr>
                <w:rFonts w:ascii="Times New Roman" w:eastAsia="Times New Roman" w:hAnsi="Times New Roman" w:cs="Times New Roman"/>
                <w:b/>
                <w:bCs/>
                <w:spacing w:val="-1"/>
                <w:sz w:val="24"/>
                <w:szCs w:val="24"/>
              </w:rPr>
              <w:t>r</w:t>
            </w:r>
            <w:r w:rsidRPr="00F36BBF">
              <w:rPr>
                <w:rFonts w:ascii="Times New Roman" w:eastAsia="Times New Roman" w:hAnsi="Times New Roman" w:cs="Times New Roman"/>
                <w:b/>
                <w:bCs/>
                <w:spacing w:val="1"/>
                <w:sz w:val="24"/>
                <w:szCs w:val="24"/>
              </w:rPr>
              <w:t>m</w:t>
            </w:r>
            <w:r w:rsidRPr="00F36BBF">
              <w:rPr>
                <w:rFonts w:ascii="Times New Roman" w:eastAsia="Times New Roman" w:hAnsi="Times New Roman" w:cs="Times New Roman"/>
                <w:b/>
                <w:bCs/>
                <w:sz w:val="24"/>
                <w:szCs w:val="24"/>
              </w:rPr>
              <w:t>ativ</w:t>
            </w:r>
          </w:p>
        </w:tc>
      </w:tr>
      <w:tr w:rsidR="00A72467" w:rsidRPr="00F36BBF" w:rsidTr="0090612E">
        <w:tc>
          <w:tcPr>
            <w:tcW w:w="9630" w:type="dxa"/>
          </w:tcPr>
          <w:p w:rsidR="00A72467" w:rsidRPr="00F36BBF" w:rsidRDefault="00A72467" w:rsidP="00F36BBF">
            <w:pPr>
              <w:spacing w:before="1" w:line="276" w:lineRule="exact"/>
              <w:ind w:right="37" w:firstLine="702"/>
              <w:rPr>
                <w:rFonts w:ascii="Times New Roman" w:eastAsia="Times New Roman" w:hAnsi="Times New Roman" w:cs="Times New Roman"/>
                <w:b/>
                <w:bCs/>
                <w:sz w:val="24"/>
                <w:szCs w:val="24"/>
              </w:rPr>
            </w:pPr>
            <w:r w:rsidRPr="00F36BBF">
              <w:rPr>
                <w:rFonts w:ascii="Times New Roman" w:eastAsia="Times New Roman" w:hAnsi="Times New Roman" w:cs="Times New Roman"/>
                <w:spacing w:val="-3"/>
                <w:sz w:val="24"/>
                <w:szCs w:val="24"/>
              </w:rPr>
              <w:t>Î</w:t>
            </w:r>
            <w:r w:rsidRPr="00F36BBF">
              <w:rPr>
                <w:rFonts w:ascii="Times New Roman" w:eastAsia="Times New Roman" w:hAnsi="Times New Roman" w:cs="Times New Roman"/>
                <w:sz w:val="24"/>
                <w:szCs w:val="24"/>
              </w:rPr>
              <w:t>ntru</w:t>
            </w:r>
            <w:r w:rsidRPr="00F36BBF">
              <w:rPr>
                <w:rFonts w:ascii="Times New Roman" w:eastAsia="Times New Roman" w:hAnsi="Times New Roman" w:cs="Times New Roman"/>
                <w:spacing w:val="2"/>
                <w:sz w:val="24"/>
                <w:szCs w:val="24"/>
              </w:rPr>
              <w:t xml:space="preserve"> </w:t>
            </w:r>
            <w:r w:rsidRPr="00F36BBF">
              <w:rPr>
                <w:rFonts w:ascii="Times New Roman" w:eastAsia="Times New Roman" w:hAnsi="Times New Roman" w:cs="Times New Roman"/>
                <w:sz w:val="24"/>
                <w:szCs w:val="24"/>
              </w:rPr>
              <w:t>r</w:t>
            </w:r>
            <w:r w:rsidRPr="00F36BBF">
              <w:rPr>
                <w:rFonts w:ascii="Times New Roman" w:eastAsia="Times New Roman" w:hAnsi="Times New Roman" w:cs="Times New Roman"/>
                <w:spacing w:val="-2"/>
                <w:sz w:val="24"/>
                <w:szCs w:val="24"/>
              </w:rPr>
              <w:t>e</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l</w:t>
            </w:r>
            <w:r w:rsidRPr="00F36BBF">
              <w:rPr>
                <w:rFonts w:ascii="Times New Roman" w:eastAsia="Times New Roman" w:hAnsi="Times New Roman" w:cs="Times New Roman"/>
                <w:spacing w:val="1"/>
                <w:sz w:val="24"/>
                <w:szCs w:val="24"/>
              </w:rPr>
              <w:t>iz</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pacing w:val="1"/>
                <w:sz w:val="24"/>
                <w:szCs w:val="24"/>
              </w:rPr>
              <w:t>r</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a R</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gula</w:t>
            </w:r>
            <w:r w:rsidRPr="00F36BBF">
              <w:rPr>
                <w:rFonts w:ascii="Times New Roman" w:eastAsia="Times New Roman" w:hAnsi="Times New Roman" w:cs="Times New Roman"/>
                <w:spacing w:val="2"/>
                <w:sz w:val="24"/>
                <w:szCs w:val="24"/>
              </w:rPr>
              <w:t>m</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ntu</w:t>
            </w:r>
            <w:r w:rsidRPr="00F36BBF">
              <w:rPr>
                <w:rFonts w:ascii="Times New Roman" w:eastAsia="Times New Roman" w:hAnsi="Times New Roman" w:cs="Times New Roman"/>
                <w:spacing w:val="1"/>
                <w:sz w:val="24"/>
                <w:szCs w:val="24"/>
              </w:rPr>
              <w:t>l</w:t>
            </w:r>
            <w:r w:rsidRPr="00F36BBF">
              <w:rPr>
                <w:rFonts w:ascii="Times New Roman" w:eastAsia="Times New Roman" w:hAnsi="Times New Roman" w:cs="Times New Roman"/>
                <w:sz w:val="24"/>
                <w:szCs w:val="24"/>
              </w:rPr>
              <w:t xml:space="preserve">ui nu vor </w:t>
            </w:r>
            <w:r w:rsidRPr="00F36BBF">
              <w:rPr>
                <w:rFonts w:ascii="Times New Roman" w:eastAsia="Times New Roman" w:hAnsi="Times New Roman" w:cs="Times New Roman"/>
                <w:spacing w:val="-1"/>
                <w:sz w:val="24"/>
                <w:szCs w:val="24"/>
              </w:rPr>
              <w:t>f</w:t>
            </w:r>
            <w:r w:rsidRPr="00F36BBF">
              <w:rPr>
                <w:rFonts w:ascii="Times New Roman" w:eastAsia="Times New Roman" w:hAnsi="Times New Roman" w:cs="Times New Roman"/>
                <w:sz w:val="24"/>
                <w:szCs w:val="24"/>
              </w:rPr>
              <w:t>i ne</w:t>
            </w:r>
            <w:r w:rsidRPr="00F36BBF">
              <w:rPr>
                <w:rFonts w:ascii="Times New Roman" w:eastAsia="Times New Roman" w:hAnsi="Times New Roman" w:cs="Times New Roman"/>
                <w:spacing w:val="-1"/>
                <w:sz w:val="24"/>
                <w:szCs w:val="24"/>
              </w:rPr>
              <w:t>ce</w:t>
            </w:r>
            <w:r w:rsidRPr="00F36BBF">
              <w:rPr>
                <w:rFonts w:ascii="Times New Roman" w:eastAsia="Times New Roman" w:hAnsi="Times New Roman" w:cs="Times New Roman"/>
                <w:spacing w:val="2"/>
                <w:sz w:val="24"/>
                <w:szCs w:val="24"/>
              </w:rPr>
              <w:t>s</w:t>
            </w:r>
            <w:r w:rsidRPr="00F36BBF">
              <w:rPr>
                <w:rFonts w:ascii="Times New Roman" w:eastAsia="Times New Roman" w:hAnsi="Times New Roman" w:cs="Times New Roman"/>
                <w:spacing w:val="-1"/>
                <w:sz w:val="24"/>
                <w:szCs w:val="24"/>
              </w:rPr>
              <w:t>a</w:t>
            </w:r>
            <w:r w:rsidRPr="00F36BBF">
              <w:rPr>
                <w:rFonts w:ascii="Times New Roman" w:eastAsia="Times New Roman" w:hAnsi="Times New Roman" w:cs="Times New Roman"/>
                <w:sz w:val="24"/>
                <w:szCs w:val="24"/>
              </w:rPr>
              <w:t>re de</w:t>
            </w:r>
            <w:r w:rsidRPr="00F36BBF">
              <w:rPr>
                <w:rFonts w:ascii="Times New Roman" w:eastAsia="Times New Roman" w:hAnsi="Times New Roman" w:cs="Times New Roman"/>
                <w:spacing w:val="-1"/>
                <w:sz w:val="24"/>
                <w:szCs w:val="24"/>
              </w:rPr>
              <w:t xml:space="preserve"> </w:t>
            </w:r>
            <w:r w:rsidRPr="00F36BBF">
              <w:rPr>
                <w:rFonts w:ascii="Times New Roman" w:eastAsia="Times New Roman" w:hAnsi="Times New Roman" w:cs="Times New Roman"/>
                <w:sz w:val="24"/>
                <w:szCs w:val="24"/>
              </w:rPr>
              <w:t>în</w:t>
            </w:r>
            <w:r w:rsidRPr="00F36BBF">
              <w:rPr>
                <w:rFonts w:ascii="Times New Roman" w:eastAsia="Times New Roman" w:hAnsi="Times New Roman" w:cs="Times New Roman"/>
                <w:spacing w:val="1"/>
                <w:sz w:val="24"/>
                <w:szCs w:val="24"/>
              </w:rPr>
              <w:t>t</w:t>
            </w:r>
            <w:r w:rsidRPr="00F36BBF">
              <w:rPr>
                <w:rFonts w:ascii="Times New Roman" w:eastAsia="Times New Roman" w:hAnsi="Times New Roman" w:cs="Times New Roman"/>
                <w:sz w:val="24"/>
                <w:szCs w:val="24"/>
              </w:rPr>
              <w:t>r</w:t>
            </w:r>
            <w:r w:rsidRPr="00F36BBF">
              <w:rPr>
                <w:rFonts w:ascii="Times New Roman" w:eastAsia="Times New Roman" w:hAnsi="Times New Roman" w:cs="Times New Roman"/>
                <w:spacing w:val="-2"/>
                <w:sz w:val="24"/>
                <w:szCs w:val="24"/>
              </w:rPr>
              <w:t>e</w:t>
            </w:r>
            <w:r w:rsidRPr="00F36BBF">
              <w:rPr>
                <w:rFonts w:ascii="Times New Roman" w:eastAsia="Times New Roman" w:hAnsi="Times New Roman" w:cs="Times New Roman"/>
                <w:sz w:val="24"/>
                <w:szCs w:val="24"/>
              </w:rPr>
              <w:t xml:space="preserve">prins </w:t>
            </w:r>
            <w:r w:rsidRPr="00F36BBF">
              <w:rPr>
                <w:rFonts w:ascii="Times New Roman" w:eastAsia="Times New Roman" w:hAnsi="Times New Roman" w:cs="Times New Roman"/>
                <w:spacing w:val="-1"/>
                <w:sz w:val="24"/>
                <w:szCs w:val="24"/>
              </w:rPr>
              <w:t>ac</w:t>
            </w:r>
            <w:r w:rsidRPr="00F36BBF">
              <w:rPr>
                <w:rFonts w:ascii="Times New Roman" w:eastAsia="Times New Roman" w:hAnsi="Times New Roman" w:cs="Times New Roman"/>
                <w:sz w:val="24"/>
                <w:szCs w:val="24"/>
              </w:rPr>
              <w:t>ț</w:t>
            </w:r>
            <w:r w:rsidRPr="00F36BBF">
              <w:rPr>
                <w:rFonts w:ascii="Times New Roman" w:eastAsia="Times New Roman" w:hAnsi="Times New Roman" w:cs="Times New Roman"/>
                <w:spacing w:val="1"/>
                <w:sz w:val="24"/>
                <w:szCs w:val="24"/>
              </w:rPr>
              <w:t>i</w:t>
            </w:r>
            <w:r w:rsidRPr="00F36BBF">
              <w:rPr>
                <w:rFonts w:ascii="Times New Roman" w:eastAsia="Times New Roman" w:hAnsi="Times New Roman" w:cs="Times New Roman"/>
                <w:sz w:val="24"/>
                <w:szCs w:val="24"/>
              </w:rPr>
              <w:t>uni sup</w:t>
            </w:r>
            <w:r w:rsidRPr="00F36BBF">
              <w:rPr>
                <w:rFonts w:ascii="Times New Roman" w:eastAsia="Times New Roman" w:hAnsi="Times New Roman" w:cs="Times New Roman"/>
                <w:spacing w:val="3"/>
                <w:sz w:val="24"/>
                <w:szCs w:val="24"/>
              </w:rPr>
              <w:t>l</w:t>
            </w:r>
            <w:r w:rsidRPr="00F36BBF">
              <w:rPr>
                <w:rFonts w:ascii="Times New Roman" w:eastAsia="Times New Roman" w:hAnsi="Times New Roman" w:cs="Times New Roman"/>
                <w:sz w:val="24"/>
                <w:szCs w:val="24"/>
              </w:rPr>
              <w:t>i</w:t>
            </w:r>
            <w:r w:rsidRPr="00F36BBF">
              <w:rPr>
                <w:rFonts w:ascii="Times New Roman" w:eastAsia="Times New Roman" w:hAnsi="Times New Roman" w:cs="Times New Roman"/>
                <w:spacing w:val="1"/>
                <w:sz w:val="24"/>
                <w:szCs w:val="24"/>
              </w:rPr>
              <w:t>m</w:t>
            </w:r>
            <w:r w:rsidRPr="00F36BBF">
              <w:rPr>
                <w:rFonts w:ascii="Times New Roman" w:eastAsia="Times New Roman" w:hAnsi="Times New Roman" w:cs="Times New Roman"/>
                <w:spacing w:val="-1"/>
                <w:sz w:val="24"/>
                <w:szCs w:val="24"/>
              </w:rPr>
              <w:t>e</w:t>
            </w:r>
            <w:r w:rsidRPr="00F36BBF">
              <w:rPr>
                <w:rFonts w:ascii="Times New Roman" w:eastAsia="Times New Roman" w:hAnsi="Times New Roman" w:cs="Times New Roman"/>
                <w:sz w:val="24"/>
                <w:szCs w:val="24"/>
              </w:rPr>
              <w:t>nta</w:t>
            </w:r>
            <w:r w:rsidRPr="00F36BBF">
              <w:rPr>
                <w:rFonts w:ascii="Times New Roman" w:eastAsia="Times New Roman" w:hAnsi="Times New Roman" w:cs="Times New Roman"/>
                <w:spacing w:val="-1"/>
                <w:sz w:val="24"/>
                <w:szCs w:val="24"/>
              </w:rPr>
              <w:t>re</w:t>
            </w:r>
            <w:r w:rsidRPr="00F36BBF">
              <w:rPr>
                <w:rFonts w:ascii="Times New Roman" w:eastAsia="Times New Roman" w:hAnsi="Times New Roman" w:cs="Times New Roman"/>
                <w:sz w:val="24"/>
                <w:szCs w:val="24"/>
              </w:rPr>
              <w:t>.</w:t>
            </w:r>
          </w:p>
        </w:tc>
      </w:tr>
    </w:tbl>
    <w:p w:rsidR="0090612E" w:rsidRPr="00F36BBF" w:rsidRDefault="0090612E">
      <w:pPr>
        <w:spacing w:after="0" w:line="240" w:lineRule="auto"/>
        <w:ind w:left="3594" w:right="3158"/>
        <w:jc w:val="center"/>
        <w:rPr>
          <w:rFonts w:ascii="Times New Roman" w:eastAsia="Times New Roman" w:hAnsi="Times New Roman" w:cs="Times New Roman"/>
          <w:sz w:val="24"/>
          <w:szCs w:val="24"/>
        </w:rPr>
      </w:pPr>
    </w:p>
    <w:p w:rsidR="00F304E8" w:rsidRPr="00F36BBF" w:rsidRDefault="00F304E8">
      <w:pPr>
        <w:spacing w:before="8" w:after="0" w:line="90" w:lineRule="exact"/>
        <w:rPr>
          <w:sz w:val="9"/>
          <w:szCs w:val="9"/>
        </w:rPr>
      </w:pPr>
    </w:p>
    <w:p w:rsidR="00F304E8" w:rsidRDefault="00F304E8">
      <w:pPr>
        <w:spacing w:before="11" w:after="0" w:line="240" w:lineRule="exact"/>
        <w:rPr>
          <w:sz w:val="24"/>
          <w:szCs w:val="24"/>
        </w:rPr>
      </w:pPr>
    </w:p>
    <w:p w:rsidR="00D54B71" w:rsidRPr="00F36BBF" w:rsidRDefault="00D54B71">
      <w:pPr>
        <w:spacing w:before="11" w:after="0" w:line="240" w:lineRule="exact"/>
        <w:rPr>
          <w:sz w:val="24"/>
          <w:szCs w:val="24"/>
        </w:rPr>
      </w:pPr>
      <w:bookmarkStart w:id="0" w:name="_GoBack"/>
      <w:bookmarkEnd w:id="0"/>
    </w:p>
    <w:p w:rsidR="00754E46" w:rsidRDefault="00B775BC" w:rsidP="00FC1112">
      <w:pPr>
        <w:tabs>
          <w:tab w:val="left" w:pos="6180"/>
        </w:tabs>
        <w:spacing w:before="24" w:after="0" w:line="240" w:lineRule="auto"/>
        <w:ind w:left="1013" w:right="-20"/>
        <w:rPr>
          <w:rFonts w:ascii="Times New Roman" w:eastAsia="Times New Roman" w:hAnsi="Times New Roman" w:cs="Times New Roman"/>
          <w:sz w:val="28"/>
          <w:szCs w:val="28"/>
        </w:rPr>
      </w:pPr>
      <w:r w:rsidRPr="00F36BBF">
        <w:rPr>
          <w:rFonts w:ascii="Times New Roman" w:eastAsia="Times New Roman" w:hAnsi="Times New Roman" w:cs="Times New Roman"/>
          <w:b/>
          <w:bCs/>
          <w:sz w:val="28"/>
          <w:szCs w:val="28"/>
        </w:rPr>
        <w:t>Secre</w:t>
      </w:r>
      <w:r w:rsidRPr="00F36BBF">
        <w:rPr>
          <w:rFonts w:ascii="Times New Roman" w:eastAsia="Times New Roman" w:hAnsi="Times New Roman" w:cs="Times New Roman"/>
          <w:b/>
          <w:bCs/>
          <w:spacing w:val="-2"/>
          <w:sz w:val="28"/>
          <w:szCs w:val="28"/>
        </w:rPr>
        <w:t>t</w:t>
      </w:r>
      <w:r w:rsidRPr="00F36BBF">
        <w:rPr>
          <w:rFonts w:ascii="Times New Roman" w:eastAsia="Times New Roman" w:hAnsi="Times New Roman" w:cs="Times New Roman"/>
          <w:b/>
          <w:bCs/>
          <w:spacing w:val="1"/>
          <w:sz w:val="28"/>
          <w:szCs w:val="28"/>
        </w:rPr>
        <w:t>a</w:t>
      </w:r>
      <w:r w:rsidRPr="00F36BBF">
        <w:rPr>
          <w:rFonts w:ascii="Times New Roman" w:eastAsia="Times New Roman" w:hAnsi="Times New Roman" w:cs="Times New Roman"/>
          <w:b/>
          <w:bCs/>
          <w:sz w:val="28"/>
          <w:szCs w:val="28"/>
        </w:rPr>
        <w:t xml:space="preserve">r </w:t>
      </w:r>
      <w:r w:rsidRPr="00F36BBF">
        <w:rPr>
          <w:rFonts w:ascii="Times New Roman" w:eastAsia="Times New Roman" w:hAnsi="Times New Roman" w:cs="Times New Roman"/>
          <w:b/>
          <w:bCs/>
          <w:spacing w:val="-2"/>
          <w:sz w:val="28"/>
          <w:szCs w:val="28"/>
        </w:rPr>
        <w:t>g</w:t>
      </w:r>
      <w:r w:rsidRPr="00F36BBF">
        <w:rPr>
          <w:rFonts w:ascii="Times New Roman" w:eastAsia="Times New Roman" w:hAnsi="Times New Roman" w:cs="Times New Roman"/>
          <w:b/>
          <w:bCs/>
          <w:sz w:val="28"/>
          <w:szCs w:val="28"/>
        </w:rPr>
        <w:t>ene</w:t>
      </w:r>
      <w:r w:rsidRPr="00F36BBF">
        <w:rPr>
          <w:rFonts w:ascii="Times New Roman" w:eastAsia="Times New Roman" w:hAnsi="Times New Roman" w:cs="Times New Roman"/>
          <w:b/>
          <w:bCs/>
          <w:spacing w:val="-2"/>
          <w:sz w:val="28"/>
          <w:szCs w:val="28"/>
        </w:rPr>
        <w:t>r</w:t>
      </w:r>
      <w:r w:rsidRPr="00F36BBF">
        <w:rPr>
          <w:rFonts w:ascii="Times New Roman" w:eastAsia="Times New Roman" w:hAnsi="Times New Roman" w:cs="Times New Roman"/>
          <w:b/>
          <w:bCs/>
          <w:spacing w:val="1"/>
          <w:sz w:val="28"/>
          <w:szCs w:val="28"/>
        </w:rPr>
        <w:t>a</w:t>
      </w:r>
      <w:r w:rsidRPr="00F36BBF">
        <w:rPr>
          <w:rFonts w:ascii="Times New Roman" w:eastAsia="Times New Roman" w:hAnsi="Times New Roman" w:cs="Times New Roman"/>
          <w:b/>
          <w:bCs/>
          <w:sz w:val="28"/>
          <w:szCs w:val="28"/>
        </w:rPr>
        <w:t>l</w:t>
      </w:r>
      <w:r w:rsidRPr="00F36BBF">
        <w:rPr>
          <w:rFonts w:ascii="Times New Roman" w:eastAsia="Times New Roman" w:hAnsi="Times New Roman" w:cs="Times New Roman"/>
          <w:b/>
          <w:bCs/>
          <w:sz w:val="28"/>
          <w:szCs w:val="28"/>
        </w:rPr>
        <w:tab/>
        <w:t>An</w:t>
      </w:r>
      <w:r w:rsidRPr="00F36BBF">
        <w:rPr>
          <w:rFonts w:ascii="Times New Roman" w:eastAsia="Times New Roman" w:hAnsi="Times New Roman" w:cs="Times New Roman"/>
          <w:b/>
          <w:bCs/>
          <w:spacing w:val="1"/>
          <w:sz w:val="28"/>
          <w:szCs w:val="28"/>
        </w:rPr>
        <w:t>g</w:t>
      </w:r>
      <w:r w:rsidRPr="00F36BBF">
        <w:rPr>
          <w:rFonts w:ascii="Times New Roman" w:eastAsia="Times New Roman" w:hAnsi="Times New Roman" w:cs="Times New Roman"/>
          <w:b/>
          <w:bCs/>
          <w:sz w:val="28"/>
          <w:szCs w:val="28"/>
        </w:rPr>
        <w:t>e</w:t>
      </w:r>
      <w:r w:rsidRPr="00F36BBF">
        <w:rPr>
          <w:rFonts w:ascii="Times New Roman" w:eastAsia="Times New Roman" w:hAnsi="Times New Roman" w:cs="Times New Roman"/>
          <w:b/>
          <w:bCs/>
          <w:spacing w:val="-1"/>
          <w:sz w:val="28"/>
          <w:szCs w:val="28"/>
        </w:rPr>
        <w:t>l</w:t>
      </w:r>
      <w:r w:rsidRPr="00F36BBF">
        <w:rPr>
          <w:rFonts w:ascii="Times New Roman" w:eastAsia="Times New Roman" w:hAnsi="Times New Roman" w:cs="Times New Roman"/>
          <w:b/>
          <w:bCs/>
          <w:sz w:val="28"/>
          <w:szCs w:val="28"/>
        </w:rPr>
        <w:t>a</w:t>
      </w:r>
      <w:r w:rsidRPr="00F36BBF">
        <w:rPr>
          <w:rFonts w:ascii="Times New Roman" w:eastAsia="Times New Roman" w:hAnsi="Times New Roman" w:cs="Times New Roman"/>
          <w:b/>
          <w:bCs/>
          <w:spacing w:val="1"/>
          <w:sz w:val="28"/>
          <w:szCs w:val="28"/>
        </w:rPr>
        <w:t xml:space="preserve"> </w:t>
      </w:r>
      <w:r w:rsidRPr="00F36BBF">
        <w:rPr>
          <w:rFonts w:ascii="Times New Roman" w:eastAsia="Times New Roman" w:hAnsi="Times New Roman" w:cs="Times New Roman"/>
          <w:b/>
          <w:bCs/>
          <w:spacing w:val="-3"/>
          <w:sz w:val="28"/>
          <w:szCs w:val="28"/>
        </w:rPr>
        <w:t>Ț</w:t>
      </w:r>
      <w:r w:rsidRPr="00F36BBF">
        <w:rPr>
          <w:rFonts w:ascii="Times New Roman" w:eastAsia="Times New Roman" w:hAnsi="Times New Roman" w:cs="Times New Roman"/>
          <w:b/>
          <w:bCs/>
          <w:spacing w:val="-1"/>
          <w:sz w:val="28"/>
          <w:szCs w:val="28"/>
        </w:rPr>
        <w:t>U</w:t>
      </w:r>
      <w:r w:rsidRPr="00F36BBF">
        <w:rPr>
          <w:rFonts w:ascii="Times New Roman" w:eastAsia="Times New Roman" w:hAnsi="Times New Roman" w:cs="Times New Roman"/>
          <w:b/>
          <w:bCs/>
          <w:spacing w:val="1"/>
          <w:sz w:val="28"/>
          <w:szCs w:val="28"/>
        </w:rPr>
        <w:t>R</w:t>
      </w:r>
      <w:r w:rsidRPr="00F36BBF">
        <w:rPr>
          <w:rFonts w:ascii="Times New Roman" w:eastAsia="Times New Roman" w:hAnsi="Times New Roman" w:cs="Times New Roman"/>
          <w:b/>
          <w:bCs/>
          <w:spacing w:val="-1"/>
          <w:sz w:val="28"/>
          <w:szCs w:val="28"/>
        </w:rPr>
        <w:t>CA</w:t>
      </w:r>
      <w:r w:rsidRPr="00F36BBF">
        <w:rPr>
          <w:rFonts w:ascii="Times New Roman" w:eastAsia="Times New Roman" w:hAnsi="Times New Roman" w:cs="Times New Roman"/>
          <w:b/>
          <w:bCs/>
          <w:spacing w:val="1"/>
          <w:sz w:val="28"/>
          <w:szCs w:val="28"/>
        </w:rPr>
        <w:t>N</w:t>
      </w:r>
      <w:r w:rsidRPr="00F36BBF">
        <w:rPr>
          <w:rFonts w:ascii="Times New Roman" w:eastAsia="Times New Roman" w:hAnsi="Times New Roman" w:cs="Times New Roman"/>
          <w:b/>
          <w:bCs/>
          <w:sz w:val="28"/>
          <w:szCs w:val="28"/>
        </w:rPr>
        <w:t>U</w:t>
      </w:r>
    </w:p>
    <w:sectPr w:rsidR="00754E46" w:rsidSect="009542D1">
      <w:footerReference w:type="default" r:id="rId10"/>
      <w:pgSz w:w="11920" w:h="16860"/>
      <w:pgMar w:top="1134" w:right="460" w:bottom="940" w:left="1680" w:header="0" w:footer="7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CB8" w:rsidRDefault="00C41CB8">
      <w:pPr>
        <w:spacing w:after="0" w:line="240" w:lineRule="auto"/>
      </w:pPr>
      <w:r>
        <w:separator/>
      </w:r>
    </w:p>
  </w:endnote>
  <w:endnote w:type="continuationSeparator" w:id="0">
    <w:p w:rsidR="00C41CB8" w:rsidRDefault="00C4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25F" w:rsidRDefault="00AC59EC">
    <w:pPr>
      <w:spacing w:after="0" w:line="200" w:lineRule="exact"/>
      <w:rPr>
        <w:sz w:val="20"/>
        <w:szCs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7113270</wp:posOffset>
              </wp:positionH>
              <wp:positionV relativeFrom="page">
                <wp:posOffset>9956165</wp:posOffset>
              </wp:positionV>
              <wp:extent cx="114300" cy="151765"/>
              <wp:effectExtent l="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5F" w:rsidRDefault="00BB025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D54B71">
                            <w:rPr>
                              <w:rFonts w:ascii="Times New Roman" w:eastAsia="Times New Roman" w:hAnsi="Times New Roman" w:cs="Times New Roman"/>
                              <w:noProof/>
                              <w:sz w:val="20"/>
                              <w:szCs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0.1pt;margin-top:783.9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" filled="f" stroked="f">
              <v:textbox inset="0,0,0,0">
                <w:txbxContent>
                  <w:p w:rsidR="00BB025F" w:rsidRDefault="00BB025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D54B71">
                      <w:rPr>
                        <w:rFonts w:ascii="Times New Roman" w:eastAsia="Times New Roman" w:hAnsi="Times New Roman" w:cs="Times New Roman"/>
                        <w:noProof/>
                        <w:sz w:val="20"/>
                        <w:szCs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CB8" w:rsidRDefault="00C41CB8">
      <w:pPr>
        <w:spacing w:after="0" w:line="240" w:lineRule="auto"/>
      </w:pPr>
      <w:r>
        <w:separator/>
      </w:r>
    </w:p>
  </w:footnote>
  <w:footnote w:type="continuationSeparator" w:id="0">
    <w:p w:rsidR="00C41CB8" w:rsidRDefault="00C41C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33A45"/>
    <w:multiLevelType w:val="hybridMultilevel"/>
    <w:tmpl w:val="1236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E8"/>
    <w:rsid w:val="00005FA7"/>
    <w:rsid w:val="000558B2"/>
    <w:rsid w:val="00070FC1"/>
    <w:rsid w:val="000A73AE"/>
    <w:rsid w:val="000C46D7"/>
    <w:rsid w:val="000C5C9E"/>
    <w:rsid w:val="000E20B3"/>
    <w:rsid w:val="00103145"/>
    <w:rsid w:val="00105034"/>
    <w:rsid w:val="00130D05"/>
    <w:rsid w:val="00164230"/>
    <w:rsid w:val="001954C6"/>
    <w:rsid w:val="001A6C1B"/>
    <w:rsid w:val="001C019F"/>
    <w:rsid w:val="00210F90"/>
    <w:rsid w:val="00242F56"/>
    <w:rsid w:val="003110C0"/>
    <w:rsid w:val="00316D4E"/>
    <w:rsid w:val="003300B0"/>
    <w:rsid w:val="00343CE3"/>
    <w:rsid w:val="003B4399"/>
    <w:rsid w:val="003D1188"/>
    <w:rsid w:val="004355C4"/>
    <w:rsid w:val="00436E31"/>
    <w:rsid w:val="004526ED"/>
    <w:rsid w:val="004753BE"/>
    <w:rsid w:val="00505294"/>
    <w:rsid w:val="005343B8"/>
    <w:rsid w:val="00567A89"/>
    <w:rsid w:val="005D2FBE"/>
    <w:rsid w:val="00653D18"/>
    <w:rsid w:val="006A78F0"/>
    <w:rsid w:val="007201B9"/>
    <w:rsid w:val="00721CF7"/>
    <w:rsid w:val="00724D41"/>
    <w:rsid w:val="00735ADA"/>
    <w:rsid w:val="00754E46"/>
    <w:rsid w:val="00775901"/>
    <w:rsid w:val="007D2F8D"/>
    <w:rsid w:val="008148C4"/>
    <w:rsid w:val="00893CFC"/>
    <w:rsid w:val="00893DCA"/>
    <w:rsid w:val="008E5A51"/>
    <w:rsid w:val="008F73FB"/>
    <w:rsid w:val="0090612E"/>
    <w:rsid w:val="0091508E"/>
    <w:rsid w:val="00935D90"/>
    <w:rsid w:val="00953CA1"/>
    <w:rsid w:val="009542D1"/>
    <w:rsid w:val="00963DBE"/>
    <w:rsid w:val="009808B7"/>
    <w:rsid w:val="009F11C3"/>
    <w:rsid w:val="00A30F0A"/>
    <w:rsid w:val="00A34538"/>
    <w:rsid w:val="00A416BC"/>
    <w:rsid w:val="00A72467"/>
    <w:rsid w:val="00A80173"/>
    <w:rsid w:val="00A96133"/>
    <w:rsid w:val="00AC59EC"/>
    <w:rsid w:val="00B13353"/>
    <w:rsid w:val="00B17041"/>
    <w:rsid w:val="00B775BC"/>
    <w:rsid w:val="00BB025F"/>
    <w:rsid w:val="00C41CB8"/>
    <w:rsid w:val="00C75978"/>
    <w:rsid w:val="00CB2677"/>
    <w:rsid w:val="00CB2FCF"/>
    <w:rsid w:val="00CE5BD4"/>
    <w:rsid w:val="00D00F07"/>
    <w:rsid w:val="00D54B71"/>
    <w:rsid w:val="00D65661"/>
    <w:rsid w:val="00D66C58"/>
    <w:rsid w:val="00D67C8B"/>
    <w:rsid w:val="00D91278"/>
    <w:rsid w:val="00E938C6"/>
    <w:rsid w:val="00EA2685"/>
    <w:rsid w:val="00ED489A"/>
    <w:rsid w:val="00F032BF"/>
    <w:rsid w:val="00F304E8"/>
    <w:rsid w:val="00F36BBF"/>
    <w:rsid w:val="00FC1112"/>
    <w:rsid w:val="00FC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FE8F9E-8B5C-4538-A256-55D37D5D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12E"/>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4E46"/>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906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0E20B3"/>
    <w:rPr>
      <w:i/>
      <w:iCs/>
    </w:rPr>
  </w:style>
  <w:style w:type="character" w:styleId="a6">
    <w:name w:val="Hyperlink"/>
    <w:basedOn w:val="a0"/>
    <w:uiPriority w:val="99"/>
    <w:unhideWhenUsed/>
    <w:rsid w:val="00735ADA"/>
    <w:rPr>
      <w:color w:val="0000FF" w:themeColor="hyperlink"/>
      <w:u w:val="single"/>
    </w:rPr>
  </w:style>
  <w:style w:type="paragraph" w:styleId="a7">
    <w:name w:val="Balloon Text"/>
    <w:basedOn w:val="a"/>
    <w:link w:val="a8"/>
    <w:uiPriority w:val="99"/>
    <w:semiHidden/>
    <w:unhideWhenUsed/>
    <w:rsid w:val="00CE5B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E5BD4"/>
    <w:rPr>
      <w:rFonts w:ascii="Segoe UI" w:hAnsi="Segoe UI" w:cs="Segoe UI"/>
      <w:sz w:val="18"/>
      <w:szCs w:val="18"/>
      <w:lang w:val="ro-RO"/>
    </w:rPr>
  </w:style>
  <w:style w:type="character" w:customStyle="1" w:styleId="object">
    <w:name w:val="object"/>
    <w:basedOn w:val="a0"/>
    <w:rsid w:val="003D1188"/>
  </w:style>
  <w:style w:type="paragraph" w:styleId="a9">
    <w:name w:val="No Spacing"/>
    <w:uiPriority w:val="1"/>
    <w:qFormat/>
    <w:rsid w:val="00105034"/>
    <w:pPr>
      <w:widowControl/>
      <w:spacing w:after="0" w:line="240" w:lineRule="auto"/>
      <w:ind w:firstLine="709"/>
      <w:jc w:val="both"/>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3391">
      <w:bodyDiv w:val="1"/>
      <w:marLeft w:val="0"/>
      <w:marRight w:val="0"/>
      <w:marTop w:val="0"/>
      <w:marBottom w:val="0"/>
      <w:divBdr>
        <w:top w:val="none" w:sz="0" w:space="0" w:color="auto"/>
        <w:left w:val="none" w:sz="0" w:space="0" w:color="auto"/>
        <w:bottom w:val="none" w:sz="0" w:space="0" w:color="auto"/>
        <w:right w:val="none" w:sz="0" w:space="0" w:color="auto"/>
      </w:divBdr>
    </w:div>
    <w:div w:id="194857515">
      <w:bodyDiv w:val="1"/>
      <w:marLeft w:val="0"/>
      <w:marRight w:val="0"/>
      <w:marTop w:val="0"/>
      <w:marBottom w:val="0"/>
      <w:divBdr>
        <w:top w:val="none" w:sz="0" w:space="0" w:color="auto"/>
        <w:left w:val="none" w:sz="0" w:space="0" w:color="auto"/>
        <w:bottom w:val="none" w:sz="0" w:space="0" w:color="auto"/>
        <w:right w:val="none" w:sz="0" w:space="0" w:color="auto"/>
      </w:divBdr>
    </w:div>
    <w:div w:id="633214116">
      <w:bodyDiv w:val="1"/>
      <w:marLeft w:val="0"/>
      <w:marRight w:val="0"/>
      <w:marTop w:val="0"/>
      <w:marBottom w:val="0"/>
      <w:divBdr>
        <w:top w:val="none" w:sz="0" w:space="0" w:color="auto"/>
        <w:left w:val="none" w:sz="0" w:space="0" w:color="auto"/>
        <w:bottom w:val="none" w:sz="0" w:space="0" w:color="auto"/>
        <w:right w:val="none" w:sz="0" w:space="0" w:color="auto"/>
      </w:divBdr>
    </w:div>
    <w:div w:id="667055838">
      <w:bodyDiv w:val="1"/>
      <w:marLeft w:val="0"/>
      <w:marRight w:val="0"/>
      <w:marTop w:val="0"/>
      <w:marBottom w:val="0"/>
      <w:divBdr>
        <w:top w:val="none" w:sz="0" w:space="0" w:color="auto"/>
        <w:left w:val="none" w:sz="0" w:space="0" w:color="auto"/>
        <w:bottom w:val="none" w:sz="0" w:space="0" w:color="auto"/>
        <w:right w:val="none" w:sz="0" w:space="0" w:color="auto"/>
      </w:divBdr>
    </w:div>
    <w:div w:id="706218577">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27787991">
      <w:bodyDiv w:val="1"/>
      <w:marLeft w:val="0"/>
      <w:marRight w:val="0"/>
      <w:marTop w:val="0"/>
      <w:marBottom w:val="0"/>
      <w:divBdr>
        <w:top w:val="none" w:sz="0" w:space="0" w:color="auto"/>
        <w:left w:val="none" w:sz="0" w:space="0" w:color="auto"/>
        <w:bottom w:val="none" w:sz="0" w:space="0" w:color="auto"/>
        <w:right w:val="none" w:sz="0" w:space="0" w:color="auto"/>
      </w:divBdr>
    </w:div>
    <w:div w:id="943463307">
      <w:bodyDiv w:val="1"/>
      <w:marLeft w:val="0"/>
      <w:marRight w:val="0"/>
      <w:marTop w:val="0"/>
      <w:marBottom w:val="0"/>
      <w:divBdr>
        <w:top w:val="none" w:sz="0" w:space="0" w:color="auto"/>
        <w:left w:val="none" w:sz="0" w:space="0" w:color="auto"/>
        <w:bottom w:val="none" w:sz="0" w:space="0" w:color="auto"/>
        <w:right w:val="none" w:sz="0" w:space="0" w:color="auto"/>
      </w:divBdr>
    </w:div>
    <w:div w:id="1012226796">
      <w:bodyDiv w:val="1"/>
      <w:marLeft w:val="0"/>
      <w:marRight w:val="0"/>
      <w:marTop w:val="0"/>
      <w:marBottom w:val="0"/>
      <w:divBdr>
        <w:top w:val="none" w:sz="0" w:space="0" w:color="auto"/>
        <w:left w:val="none" w:sz="0" w:space="0" w:color="auto"/>
        <w:bottom w:val="none" w:sz="0" w:space="0" w:color="auto"/>
        <w:right w:val="none" w:sz="0" w:space="0" w:color="auto"/>
      </w:divBdr>
    </w:div>
    <w:div w:id="1051268124">
      <w:bodyDiv w:val="1"/>
      <w:marLeft w:val="0"/>
      <w:marRight w:val="0"/>
      <w:marTop w:val="0"/>
      <w:marBottom w:val="0"/>
      <w:divBdr>
        <w:top w:val="none" w:sz="0" w:space="0" w:color="auto"/>
        <w:left w:val="none" w:sz="0" w:space="0" w:color="auto"/>
        <w:bottom w:val="none" w:sz="0" w:space="0" w:color="auto"/>
        <w:right w:val="none" w:sz="0" w:space="0" w:color="auto"/>
      </w:divBdr>
    </w:div>
    <w:div w:id="1229880447">
      <w:bodyDiv w:val="1"/>
      <w:marLeft w:val="0"/>
      <w:marRight w:val="0"/>
      <w:marTop w:val="0"/>
      <w:marBottom w:val="0"/>
      <w:divBdr>
        <w:top w:val="none" w:sz="0" w:space="0" w:color="auto"/>
        <w:left w:val="none" w:sz="0" w:space="0" w:color="auto"/>
        <w:bottom w:val="none" w:sz="0" w:space="0" w:color="auto"/>
        <w:right w:val="none" w:sz="0" w:space="0" w:color="auto"/>
      </w:divBdr>
    </w:div>
    <w:div w:id="1294484422">
      <w:bodyDiv w:val="1"/>
      <w:marLeft w:val="0"/>
      <w:marRight w:val="0"/>
      <w:marTop w:val="0"/>
      <w:marBottom w:val="0"/>
      <w:divBdr>
        <w:top w:val="none" w:sz="0" w:space="0" w:color="auto"/>
        <w:left w:val="none" w:sz="0" w:space="0" w:color="auto"/>
        <w:bottom w:val="none" w:sz="0" w:space="0" w:color="auto"/>
        <w:right w:val="none" w:sz="0" w:space="0" w:color="auto"/>
      </w:divBdr>
    </w:div>
    <w:div w:id="1342659585">
      <w:bodyDiv w:val="1"/>
      <w:marLeft w:val="0"/>
      <w:marRight w:val="0"/>
      <w:marTop w:val="0"/>
      <w:marBottom w:val="0"/>
      <w:divBdr>
        <w:top w:val="none" w:sz="0" w:space="0" w:color="auto"/>
        <w:left w:val="none" w:sz="0" w:space="0" w:color="auto"/>
        <w:bottom w:val="none" w:sz="0" w:space="0" w:color="auto"/>
        <w:right w:val="none" w:sz="0" w:space="0" w:color="auto"/>
      </w:divBdr>
    </w:div>
    <w:div w:id="1358579325">
      <w:bodyDiv w:val="1"/>
      <w:marLeft w:val="0"/>
      <w:marRight w:val="0"/>
      <w:marTop w:val="0"/>
      <w:marBottom w:val="0"/>
      <w:divBdr>
        <w:top w:val="none" w:sz="0" w:space="0" w:color="auto"/>
        <w:left w:val="none" w:sz="0" w:space="0" w:color="auto"/>
        <w:bottom w:val="none" w:sz="0" w:space="0" w:color="auto"/>
        <w:right w:val="none" w:sz="0" w:space="0" w:color="auto"/>
      </w:divBdr>
    </w:div>
    <w:div w:id="1359047466">
      <w:bodyDiv w:val="1"/>
      <w:marLeft w:val="0"/>
      <w:marRight w:val="0"/>
      <w:marTop w:val="0"/>
      <w:marBottom w:val="0"/>
      <w:divBdr>
        <w:top w:val="none" w:sz="0" w:space="0" w:color="auto"/>
        <w:left w:val="none" w:sz="0" w:space="0" w:color="auto"/>
        <w:bottom w:val="none" w:sz="0" w:space="0" w:color="auto"/>
        <w:right w:val="none" w:sz="0" w:space="0" w:color="auto"/>
      </w:divBdr>
    </w:div>
    <w:div w:id="1375613502">
      <w:bodyDiv w:val="1"/>
      <w:marLeft w:val="0"/>
      <w:marRight w:val="0"/>
      <w:marTop w:val="0"/>
      <w:marBottom w:val="0"/>
      <w:divBdr>
        <w:top w:val="none" w:sz="0" w:space="0" w:color="auto"/>
        <w:left w:val="none" w:sz="0" w:space="0" w:color="auto"/>
        <w:bottom w:val="none" w:sz="0" w:space="0" w:color="auto"/>
        <w:right w:val="none" w:sz="0" w:space="0" w:color="auto"/>
      </w:divBdr>
    </w:div>
    <w:div w:id="1494830197">
      <w:bodyDiv w:val="1"/>
      <w:marLeft w:val="0"/>
      <w:marRight w:val="0"/>
      <w:marTop w:val="0"/>
      <w:marBottom w:val="0"/>
      <w:divBdr>
        <w:top w:val="none" w:sz="0" w:space="0" w:color="auto"/>
        <w:left w:val="none" w:sz="0" w:space="0" w:color="auto"/>
        <w:bottom w:val="none" w:sz="0" w:space="0" w:color="auto"/>
        <w:right w:val="none" w:sz="0" w:space="0" w:color="auto"/>
      </w:divBdr>
    </w:div>
    <w:div w:id="1574506102">
      <w:bodyDiv w:val="1"/>
      <w:marLeft w:val="0"/>
      <w:marRight w:val="0"/>
      <w:marTop w:val="0"/>
      <w:marBottom w:val="0"/>
      <w:divBdr>
        <w:top w:val="none" w:sz="0" w:space="0" w:color="auto"/>
        <w:left w:val="none" w:sz="0" w:space="0" w:color="auto"/>
        <w:bottom w:val="none" w:sz="0" w:space="0" w:color="auto"/>
        <w:right w:val="none" w:sz="0" w:space="0" w:color="auto"/>
      </w:divBdr>
    </w:div>
    <w:div w:id="1614438480">
      <w:bodyDiv w:val="1"/>
      <w:marLeft w:val="0"/>
      <w:marRight w:val="0"/>
      <w:marTop w:val="0"/>
      <w:marBottom w:val="0"/>
      <w:divBdr>
        <w:top w:val="none" w:sz="0" w:space="0" w:color="auto"/>
        <w:left w:val="none" w:sz="0" w:space="0" w:color="auto"/>
        <w:bottom w:val="none" w:sz="0" w:space="0" w:color="auto"/>
        <w:right w:val="none" w:sz="0" w:space="0" w:color="auto"/>
      </w:divBdr>
    </w:div>
    <w:div w:id="1888031900">
      <w:bodyDiv w:val="1"/>
      <w:marLeft w:val="0"/>
      <w:marRight w:val="0"/>
      <w:marTop w:val="0"/>
      <w:marBottom w:val="0"/>
      <w:divBdr>
        <w:top w:val="none" w:sz="0" w:space="0" w:color="auto"/>
        <w:left w:val="none" w:sz="0" w:space="0" w:color="auto"/>
        <w:bottom w:val="none" w:sz="0" w:space="0" w:color="auto"/>
        <w:right w:val="none" w:sz="0" w:space="0" w:color="auto"/>
      </w:divBdr>
    </w:div>
    <w:div w:id="2106263647">
      <w:bodyDiv w:val="1"/>
      <w:marLeft w:val="0"/>
      <w:marRight w:val="0"/>
      <w:marTop w:val="0"/>
      <w:marBottom w:val="0"/>
      <w:divBdr>
        <w:top w:val="none" w:sz="0" w:space="0" w:color="auto"/>
        <w:left w:val="none" w:sz="0" w:space="0" w:color="auto"/>
        <w:bottom w:val="none" w:sz="0" w:space="0" w:color="auto"/>
        <w:right w:val="none" w:sz="0" w:space="0" w:color="auto"/>
      </w:divBdr>
    </w:div>
    <w:div w:id="2125729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ul-privind-initierea-elaborarii-regulamentului-privind-consultarea-populatiei-in-procesul-elaborarii-si-aprobarii-documentatiei-de-amenajare-a-teritoriului-si-de-urbanism/138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ro/document/stages/*/13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5121-A003-4EB0-B498-09F17FA7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2231</Words>
  <Characters>12723</Characters>
  <Application>Microsoft Office Word</Application>
  <DocSecurity>0</DocSecurity>
  <Lines>106</Lines>
  <Paragraphs>29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
  <LinksUpToDate>false</LinksUpToDate>
  <CharactersWithSpaces>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Aliona Demiscan</cp:lastModifiedBy>
  <cp:revision>8</cp:revision>
  <cp:lastPrinted>2025-03-04T13:07:00Z</cp:lastPrinted>
  <dcterms:created xsi:type="dcterms:W3CDTF">2025-04-30T05:13:00Z</dcterms:created>
  <dcterms:modified xsi:type="dcterms:W3CDTF">2025-05-02T06:52:00Z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LastSaved">
    <vt:filetime>2025-01-30T00:00:00Z</vt:filetime>
  </property>
</Properties>
</file>