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906" w:rsidRPr="002A1BF2" w:rsidRDefault="001A6906" w:rsidP="002A1BF2">
      <w:pPr>
        <w:tabs>
          <w:tab w:val="left" w:pos="2977"/>
          <w:tab w:val="left" w:pos="5812"/>
        </w:tabs>
        <w:spacing w:after="0" w:line="240" w:lineRule="auto"/>
        <w:jc w:val="center"/>
        <w:rPr>
          <w:rFonts w:ascii="Times New Roman" w:hAnsi="Times New Roman" w:cs="Times New Roman"/>
          <w:b/>
          <w:sz w:val="24"/>
          <w:szCs w:val="24"/>
          <w:lang w:val="ro-MD"/>
        </w:rPr>
      </w:pPr>
      <w:r w:rsidRPr="002A1BF2">
        <w:rPr>
          <w:rFonts w:ascii="Times New Roman" w:hAnsi="Times New Roman" w:cs="Times New Roman"/>
          <w:b/>
          <w:sz w:val="24"/>
          <w:szCs w:val="24"/>
          <w:lang w:val="ro-MD"/>
        </w:rPr>
        <w:t>Tabel comparativ la proiectul legii pentru modificarea</w:t>
      </w:r>
    </w:p>
    <w:p w:rsidR="00941804" w:rsidRPr="002A1BF2" w:rsidRDefault="001A6906" w:rsidP="002A1BF2">
      <w:pPr>
        <w:tabs>
          <w:tab w:val="left" w:pos="2977"/>
          <w:tab w:val="left" w:pos="5812"/>
        </w:tabs>
        <w:spacing w:after="0" w:line="240" w:lineRule="auto"/>
        <w:jc w:val="center"/>
        <w:rPr>
          <w:rFonts w:ascii="Times New Roman" w:hAnsi="Times New Roman" w:cs="Times New Roman"/>
          <w:b/>
          <w:sz w:val="24"/>
          <w:szCs w:val="24"/>
          <w:lang w:val="ro-MD"/>
        </w:rPr>
      </w:pPr>
      <w:r w:rsidRPr="002A1BF2">
        <w:rPr>
          <w:rFonts w:ascii="Times New Roman" w:hAnsi="Times New Roman" w:cs="Times New Roman"/>
          <w:b/>
          <w:sz w:val="24"/>
          <w:szCs w:val="24"/>
          <w:lang w:val="ro-MD"/>
        </w:rPr>
        <w:t xml:space="preserve"> Legii nr. 230/2022 privind dreptul de autor și drepturile conexe</w:t>
      </w:r>
    </w:p>
    <w:p w:rsidR="001A6906" w:rsidRPr="002A1BF2" w:rsidRDefault="001A6906" w:rsidP="002A1BF2">
      <w:pPr>
        <w:tabs>
          <w:tab w:val="left" w:pos="2977"/>
          <w:tab w:val="left" w:pos="5812"/>
        </w:tabs>
        <w:spacing w:after="0" w:line="240" w:lineRule="auto"/>
        <w:jc w:val="center"/>
        <w:rPr>
          <w:rFonts w:ascii="Times New Roman" w:hAnsi="Times New Roman" w:cs="Times New Roman"/>
          <w:b/>
          <w:sz w:val="24"/>
          <w:szCs w:val="24"/>
          <w:lang w:val="ro-MD"/>
        </w:rPr>
      </w:pPr>
    </w:p>
    <w:tbl>
      <w:tblPr>
        <w:tblStyle w:val="TableGrid"/>
        <w:tblW w:w="0" w:type="auto"/>
        <w:tblLook w:val="04A0" w:firstRow="1" w:lastRow="0" w:firstColumn="1" w:lastColumn="0" w:noHBand="0" w:noVBand="1"/>
      </w:tblPr>
      <w:tblGrid>
        <w:gridCol w:w="757"/>
        <w:gridCol w:w="4350"/>
        <w:gridCol w:w="4249"/>
        <w:gridCol w:w="3594"/>
      </w:tblGrid>
      <w:tr w:rsidR="00BA5977" w:rsidRPr="002A1BF2" w:rsidTr="008070E4">
        <w:tc>
          <w:tcPr>
            <w:tcW w:w="757" w:type="dxa"/>
          </w:tcPr>
          <w:p w:rsidR="00BA5977" w:rsidRPr="002A1BF2" w:rsidRDefault="00BA5977" w:rsidP="002A1BF2">
            <w:pPr>
              <w:tabs>
                <w:tab w:val="left" w:pos="2977"/>
                <w:tab w:val="left" w:pos="5812"/>
              </w:tabs>
              <w:jc w:val="center"/>
              <w:rPr>
                <w:rFonts w:ascii="Times New Roman" w:hAnsi="Times New Roman" w:cs="Times New Roman"/>
                <w:b/>
                <w:sz w:val="24"/>
                <w:szCs w:val="24"/>
                <w:lang w:val="ro-MD"/>
              </w:rPr>
            </w:pPr>
            <w:r w:rsidRPr="002A1BF2">
              <w:rPr>
                <w:rFonts w:ascii="Times New Roman" w:hAnsi="Times New Roman" w:cs="Times New Roman"/>
                <w:b/>
                <w:sz w:val="24"/>
                <w:szCs w:val="24"/>
                <w:lang w:val="ro-MD"/>
              </w:rPr>
              <w:t>Nr. ord.</w:t>
            </w:r>
          </w:p>
        </w:tc>
        <w:tc>
          <w:tcPr>
            <w:tcW w:w="4350" w:type="dxa"/>
          </w:tcPr>
          <w:p w:rsidR="00BA5977" w:rsidRPr="002A1BF2" w:rsidRDefault="00BA5977" w:rsidP="002A1BF2">
            <w:pPr>
              <w:tabs>
                <w:tab w:val="left" w:pos="2977"/>
                <w:tab w:val="left" w:pos="5812"/>
              </w:tabs>
              <w:jc w:val="center"/>
              <w:rPr>
                <w:rFonts w:ascii="Times New Roman" w:hAnsi="Times New Roman" w:cs="Times New Roman"/>
                <w:b/>
                <w:sz w:val="24"/>
                <w:szCs w:val="24"/>
                <w:lang w:val="ro-MD"/>
              </w:rPr>
            </w:pPr>
          </w:p>
          <w:p w:rsidR="00BA5977" w:rsidRPr="002A1BF2" w:rsidRDefault="00CD4E46" w:rsidP="002A1BF2">
            <w:pPr>
              <w:tabs>
                <w:tab w:val="left" w:pos="2977"/>
                <w:tab w:val="left" w:pos="5812"/>
              </w:tabs>
              <w:jc w:val="center"/>
              <w:rPr>
                <w:rFonts w:ascii="Times New Roman" w:hAnsi="Times New Roman" w:cs="Times New Roman"/>
                <w:b/>
                <w:sz w:val="24"/>
                <w:szCs w:val="24"/>
                <w:lang w:val="ro-MD"/>
              </w:rPr>
            </w:pPr>
            <w:r w:rsidRPr="002A1BF2">
              <w:rPr>
                <w:rFonts w:ascii="Times New Roman" w:hAnsi="Times New Roman" w:cs="Times New Roman"/>
                <w:b/>
                <w:sz w:val="24"/>
                <w:szCs w:val="24"/>
                <w:lang w:val="ro-MD"/>
              </w:rPr>
              <w:t>Conținutul normei în vigoare</w:t>
            </w:r>
          </w:p>
        </w:tc>
        <w:tc>
          <w:tcPr>
            <w:tcW w:w="4249" w:type="dxa"/>
          </w:tcPr>
          <w:p w:rsidR="00BA5977" w:rsidRPr="002A1BF2" w:rsidRDefault="00BA5977" w:rsidP="002A1BF2">
            <w:pPr>
              <w:tabs>
                <w:tab w:val="left" w:pos="2977"/>
                <w:tab w:val="left" w:pos="5812"/>
              </w:tabs>
              <w:jc w:val="center"/>
              <w:rPr>
                <w:rFonts w:ascii="Times New Roman" w:hAnsi="Times New Roman" w:cs="Times New Roman"/>
                <w:b/>
                <w:sz w:val="24"/>
                <w:szCs w:val="24"/>
                <w:lang w:val="ro-MD"/>
              </w:rPr>
            </w:pPr>
          </w:p>
          <w:p w:rsidR="00BA5977" w:rsidRPr="002A1BF2" w:rsidRDefault="00BA5977" w:rsidP="002A1BF2">
            <w:pPr>
              <w:tabs>
                <w:tab w:val="left" w:pos="2977"/>
                <w:tab w:val="left" w:pos="5812"/>
              </w:tabs>
              <w:jc w:val="center"/>
              <w:rPr>
                <w:rFonts w:ascii="Times New Roman" w:hAnsi="Times New Roman" w:cs="Times New Roman"/>
                <w:b/>
                <w:sz w:val="24"/>
                <w:szCs w:val="24"/>
                <w:lang w:val="ro-MD"/>
              </w:rPr>
            </w:pPr>
            <w:r w:rsidRPr="002A1BF2">
              <w:rPr>
                <w:rFonts w:ascii="Times New Roman" w:hAnsi="Times New Roman" w:cs="Times New Roman"/>
                <w:b/>
                <w:sz w:val="24"/>
                <w:szCs w:val="24"/>
                <w:lang w:val="ro-MD"/>
              </w:rPr>
              <w:t>Modificarea propusă</w:t>
            </w:r>
          </w:p>
        </w:tc>
        <w:tc>
          <w:tcPr>
            <w:tcW w:w="3594" w:type="dxa"/>
          </w:tcPr>
          <w:p w:rsidR="00BA5977" w:rsidRPr="002A1BF2" w:rsidRDefault="00BA5977" w:rsidP="002A1BF2">
            <w:pPr>
              <w:tabs>
                <w:tab w:val="left" w:pos="2977"/>
                <w:tab w:val="left" w:pos="5812"/>
              </w:tabs>
              <w:jc w:val="center"/>
              <w:rPr>
                <w:rFonts w:ascii="Times New Roman" w:hAnsi="Times New Roman" w:cs="Times New Roman"/>
                <w:b/>
                <w:sz w:val="24"/>
                <w:szCs w:val="24"/>
                <w:lang w:val="ro-MD"/>
              </w:rPr>
            </w:pPr>
          </w:p>
          <w:p w:rsidR="00BA5977" w:rsidRPr="002A1BF2" w:rsidRDefault="00CD4E46" w:rsidP="002A1BF2">
            <w:pPr>
              <w:tabs>
                <w:tab w:val="left" w:pos="2977"/>
                <w:tab w:val="left" w:pos="5812"/>
              </w:tabs>
              <w:jc w:val="center"/>
              <w:rPr>
                <w:rFonts w:ascii="Times New Roman" w:hAnsi="Times New Roman" w:cs="Times New Roman"/>
                <w:b/>
                <w:sz w:val="24"/>
                <w:szCs w:val="24"/>
                <w:lang w:val="ro-MD"/>
              </w:rPr>
            </w:pPr>
            <w:r w:rsidRPr="002A1BF2">
              <w:rPr>
                <w:rFonts w:ascii="Times New Roman" w:hAnsi="Times New Roman" w:cs="Times New Roman"/>
                <w:b/>
                <w:sz w:val="24"/>
                <w:szCs w:val="24"/>
                <w:lang w:val="ro-MD"/>
              </w:rPr>
              <w:t>Conținutul normei</w:t>
            </w:r>
            <w:r w:rsidR="00BA5977" w:rsidRPr="002A1BF2">
              <w:rPr>
                <w:rFonts w:ascii="Times New Roman" w:hAnsi="Times New Roman" w:cs="Times New Roman"/>
                <w:b/>
                <w:sz w:val="24"/>
                <w:szCs w:val="24"/>
                <w:lang w:val="ro-MD"/>
              </w:rPr>
              <w:t xml:space="preserve"> după modificare</w:t>
            </w:r>
          </w:p>
        </w:tc>
      </w:tr>
      <w:tr w:rsidR="00BA5977" w:rsidRPr="002A1BF2" w:rsidTr="008070E4">
        <w:tc>
          <w:tcPr>
            <w:tcW w:w="757" w:type="dxa"/>
          </w:tcPr>
          <w:p w:rsidR="00BA5977" w:rsidRPr="002A1BF2" w:rsidRDefault="00BA5977" w:rsidP="002A1BF2">
            <w:pPr>
              <w:pStyle w:val="ListParagraph"/>
              <w:numPr>
                <w:ilvl w:val="0"/>
                <w:numId w:val="1"/>
              </w:numPr>
              <w:tabs>
                <w:tab w:val="left" w:pos="2977"/>
                <w:tab w:val="left" w:pos="5812"/>
              </w:tabs>
              <w:jc w:val="center"/>
              <w:rPr>
                <w:rFonts w:ascii="Times New Roman" w:hAnsi="Times New Roman" w:cs="Times New Roman"/>
                <w:b/>
                <w:sz w:val="24"/>
                <w:szCs w:val="24"/>
                <w:lang w:val="ro-MD"/>
              </w:rPr>
            </w:pPr>
          </w:p>
        </w:tc>
        <w:tc>
          <w:tcPr>
            <w:tcW w:w="4350" w:type="dxa"/>
          </w:tcPr>
          <w:p w:rsidR="001F69BB" w:rsidRPr="002A1BF2" w:rsidRDefault="001F69BB" w:rsidP="002A1BF2">
            <w:pPr>
              <w:shd w:val="clear" w:color="auto" w:fill="FFFFFF"/>
              <w:jc w:val="both"/>
              <w:rPr>
                <w:rFonts w:ascii="Times New Roman" w:eastAsia="Times New Roman" w:hAnsi="Times New Roman" w:cs="Times New Roman"/>
                <w:color w:val="333333"/>
                <w:sz w:val="24"/>
                <w:szCs w:val="24"/>
                <w:lang w:val="ro-MD"/>
              </w:rPr>
            </w:pPr>
            <w:r w:rsidRPr="002A1BF2">
              <w:rPr>
                <w:rFonts w:ascii="Times New Roman" w:eastAsia="Times New Roman" w:hAnsi="Times New Roman" w:cs="Times New Roman"/>
                <w:b/>
                <w:bCs/>
                <w:color w:val="000000"/>
                <w:sz w:val="24"/>
                <w:szCs w:val="24"/>
                <w:lang w:val="ro-MD"/>
              </w:rPr>
              <w:t>Articolul 77.</w:t>
            </w:r>
            <w:r w:rsidRPr="002A1BF2">
              <w:rPr>
                <w:rFonts w:ascii="Times New Roman" w:eastAsia="Times New Roman" w:hAnsi="Times New Roman" w:cs="Times New Roman"/>
                <w:color w:val="000000"/>
                <w:sz w:val="24"/>
                <w:szCs w:val="24"/>
                <w:lang w:val="ro-MD"/>
              </w:rPr>
              <w:t> Dreptul la remunerație echitabil</w:t>
            </w:r>
            <w:r w:rsidR="00F2347F">
              <w:rPr>
                <w:rFonts w:ascii="Times New Roman" w:eastAsia="Times New Roman" w:hAnsi="Times New Roman" w:cs="Times New Roman"/>
                <w:color w:val="000000"/>
                <w:sz w:val="24"/>
                <w:szCs w:val="24"/>
                <w:lang w:val="ro-MD"/>
              </w:rPr>
              <w:t>ă</w:t>
            </w:r>
            <w:r w:rsidRPr="002A1BF2">
              <w:rPr>
                <w:rFonts w:ascii="Times New Roman" w:eastAsia="Times New Roman" w:hAnsi="Times New Roman" w:cs="Times New Roman"/>
                <w:color w:val="000000"/>
                <w:sz w:val="24"/>
                <w:szCs w:val="24"/>
                <w:lang w:val="ro-MD"/>
              </w:rPr>
              <w:t xml:space="preserve"> pentru împrumut public</w:t>
            </w:r>
          </w:p>
          <w:p w:rsidR="00BA5977" w:rsidRPr="002A1BF2" w:rsidRDefault="001F69BB" w:rsidP="002A1BF2">
            <w:pPr>
              <w:pStyle w:val="NormalWeb"/>
              <w:shd w:val="clear" w:color="auto" w:fill="FFFFFF"/>
              <w:spacing w:before="0" w:beforeAutospacing="0" w:after="0" w:afterAutospacing="0"/>
              <w:jc w:val="both"/>
              <w:rPr>
                <w:b/>
                <w:lang w:val="ro-MD"/>
              </w:rPr>
            </w:pPr>
            <w:r w:rsidRPr="002A1BF2">
              <w:rPr>
                <w:color w:val="000000"/>
                <w:shd w:val="clear" w:color="auto" w:fill="FFFFFF"/>
                <w:lang w:val="ro-MD"/>
              </w:rPr>
              <w:t>(3) Cuantumul remunerațiilor se stabilește prin hotărâre de Guvern, iar colectarea acestora se realizează conform dispozițiilor art. 103 și 104.</w:t>
            </w:r>
          </w:p>
        </w:tc>
        <w:tc>
          <w:tcPr>
            <w:tcW w:w="4249" w:type="dxa"/>
          </w:tcPr>
          <w:p w:rsidR="00BA5977" w:rsidRPr="002A1BF2" w:rsidRDefault="00080D49" w:rsidP="002A1BF2">
            <w:pPr>
              <w:jc w:val="both"/>
              <w:rPr>
                <w:rFonts w:ascii="Times New Roman" w:hAnsi="Times New Roman" w:cs="Times New Roman"/>
                <w:color w:val="333333"/>
                <w:sz w:val="24"/>
                <w:szCs w:val="24"/>
                <w:lang w:val="ro-MD"/>
              </w:rPr>
            </w:pPr>
            <w:r w:rsidRPr="002A1BF2">
              <w:rPr>
                <w:rFonts w:ascii="Times New Roman" w:hAnsi="Times New Roman" w:cs="Times New Roman"/>
                <w:sz w:val="24"/>
                <w:szCs w:val="24"/>
                <w:lang w:val="ro-MD"/>
              </w:rPr>
              <w:t xml:space="preserve">La articolul 77, alineatul (3) va avea următorul cuprins: “(3) Cuantumul remunerației echitabile se stabilește în cuprinsul metodologiei negociate </w:t>
            </w:r>
            <w:r w:rsidRPr="002A1BF2">
              <w:rPr>
                <w:rFonts w:ascii="Times New Roman" w:hAnsi="Times New Roman" w:cs="Times New Roman"/>
                <w:color w:val="000000"/>
                <w:sz w:val="24"/>
                <w:szCs w:val="24"/>
                <w:shd w:val="clear" w:color="auto" w:fill="FFFFFF"/>
                <w:lang w:val="ro-MD"/>
              </w:rPr>
              <w:t>potrivit prevederilor art. 99–101.</w:t>
            </w:r>
            <w:r w:rsidRPr="002A1BF2">
              <w:rPr>
                <w:rFonts w:ascii="Times New Roman" w:hAnsi="Times New Roman" w:cs="Times New Roman"/>
                <w:sz w:val="24"/>
                <w:szCs w:val="24"/>
                <w:lang w:val="ro-MD"/>
              </w:rPr>
              <w:t>”.</w:t>
            </w:r>
          </w:p>
        </w:tc>
        <w:tc>
          <w:tcPr>
            <w:tcW w:w="3594" w:type="dxa"/>
          </w:tcPr>
          <w:p w:rsidR="00BA5977" w:rsidRPr="002A1BF2" w:rsidRDefault="00080D49" w:rsidP="002A1BF2">
            <w:pPr>
              <w:pStyle w:val="NormalWeb"/>
              <w:shd w:val="clear" w:color="auto" w:fill="FFFFFF"/>
              <w:spacing w:before="0" w:beforeAutospacing="0" w:after="0" w:afterAutospacing="0"/>
              <w:jc w:val="both"/>
              <w:rPr>
                <w:color w:val="000000"/>
                <w:lang w:val="ro-MD"/>
              </w:rPr>
            </w:pPr>
            <w:r w:rsidRPr="002A1BF2">
              <w:rPr>
                <w:lang w:val="ro-MD"/>
              </w:rPr>
              <w:t xml:space="preserve">(3) Cuantumul remunerației echitabile se stabilește în cuprinsul metodologiei negociate </w:t>
            </w:r>
            <w:r w:rsidRPr="002A1BF2">
              <w:rPr>
                <w:color w:val="000000"/>
                <w:shd w:val="clear" w:color="auto" w:fill="FFFFFF"/>
                <w:lang w:val="ro-MD"/>
              </w:rPr>
              <w:t>potrivit prevederilor art. 99–101.</w:t>
            </w:r>
          </w:p>
        </w:tc>
      </w:tr>
      <w:tr w:rsidR="00A50B26" w:rsidRPr="002A1BF2" w:rsidTr="008070E4">
        <w:tc>
          <w:tcPr>
            <w:tcW w:w="757" w:type="dxa"/>
          </w:tcPr>
          <w:p w:rsidR="00A50B26" w:rsidRPr="002A1BF2" w:rsidRDefault="00A50B26" w:rsidP="002A1BF2">
            <w:pPr>
              <w:pStyle w:val="ListParagraph"/>
              <w:numPr>
                <w:ilvl w:val="0"/>
                <w:numId w:val="1"/>
              </w:numPr>
              <w:tabs>
                <w:tab w:val="left" w:pos="2977"/>
                <w:tab w:val="left" w:pos="5812"/>
              </w:tabs>
              <w:jc w:val="center"/>
              <w:rPr>
                <w:rFonts w:ascii="Times New Roman" w:hAnsi="Times New Roman" w:cs="Times New Roman"/>
                <w:b/>
                <w:sz w:val="24"/>
                <w:szCs w:val="24"/>
                <w:lang w:val="ro-MD"/>
              </w:rPr>
            </w:pPr>
          </w:p>
        </w:tc>
        <w:tc>
          <w:tcPr>
            <w:tcW w:w="12193" w:type="dxa"/>
            <w:gridSpan w:val="3"/>
          </w:tcPr>
          <w:p w:rsidR="00A50B26" w:rsidRPr="002A1BF2" w:rsidRDefault="00A50B26" w:rsidP="002A1BF2">
            <w:pPr>
              <w:jc w:val="center"/>
              <w:rPr>
                <w:rFonts w:ascii="Times New Roman" w:hAnsi="Times New Roman" w:cs="Times New Roman"/>
                <w:sz w:val="24"/>
                <w:szCs w:val="24"/>
                <w:lang w:val="ro-MD"/>
              </w:rPr>
            </w:pPr>
            <w:r w:rsidRPr="002A1BF2">
              <w:rPr>
                <w:rStyle w:val="Strong"/>
                <w:rFonts w:ascii="Times New Roman" w:hAnsi="Times New Roman" w:cs="Times New Roman"/>
                <w:color w:val="000000"/>
                <w:sz w:val="24"/>
                <w:szCs w:val="24"/>
                <w:shd w:val="clear" w:color="auto" w:fill="FFFFFF"/>
                <w:lang w:val="ro-MD"/>
              </w:rPr>
              <w:t>Articolul 101.</w:t>
            </w:r>
            <w:r w:rsidRPr="002A1BF2">
              <w:rPr>
                <w:rFonts w:ascii="Times New Roman" w:hAnsi="Times New Roman" w:cs="Times New Roman"/>
                <w:color w:val="000000"/>
                <w:sz w:val="24"/>
                <w:szCs w:val="24"/>
                <w:shd w:val="clear" w:color="auto" w:fill="FFFFFF"/>
                <w:lang w:val="ro-MD"/>
              </w:rPr>
              <w:t> Negocierea remunerațiilor</w:t>
            </w:r>
          </w:p>
        </w:tc>
      </w:tr>
      <w:tr w:rsidR="00BA5977" w:rsidRPr="002A1BF2" w:rsidTr="008070E4">
        <w:tc>
          <w:tcPr>
            <w:tcW w:w="757" w:type="dxa"/>
          </w:tcPr>
          <w:p w:rsidR="00BA5977" w:rsidRPr="002A1BF2" w:rsidRDefault="00BA5977" w:rsidP="002A1BF2">
            <w:pPr>
              <w:tabs>
                <w:tab w:val="left" w:pos="2977"/>
                <w:tab w:val="left" w:pos="5812"/>
              </w:tabs>
              <w:ind w:left="360"/>
              <w:jc w:val="center"/>
              <w:rPr>
                <w:rFonts w:ascii="Times New Roman" w:hAnsi="Times New Roman" w:cs="Times New Roman"/>
                <w:b/>
                <w:sz w:val="24"/>
                <w:szCs w:val="24"/>
                <w:lang w:val="ro-MD"/>
              </w:rPr>
            </w:pPr>
          </w:p>
        </w:tc>
        <w:tc>
          <w:tcPr>
            <w:tcW w:w="4350" w:type="dxa"/>
          </w:tcPr>
          <w:p w:rsidR="00BA5977" w:rsidRPr="002A1BF2" w:rsidRDefault="00BA5977" w:rsidP="00F2347F">
            <w:pPr>
              <w:spacing w:after="240"/>
              <w:contextualSpacing/>
              <w:jc w:val="both"/>
              <w:rPr>
                <w:rFonts w:ascii="Times New Roman" w:hAnsi="Times New Roman" w:cs="Times New Roman"/>
                <w:sz w:val="24"/>
                <w:szCs w:val="24"/>
                <w:lang w:val="ro-MD"/>
              </w:rPr>
            </w:pPr>
          </w:p>
        </w:tc>
        <w:tc>
          <w:tcPr>
            <w:tcW w:w="4249" w:type="dxa"/>
          </w:tcPr>
          <w:p w:rsidR="00F2347F" w:rsidRPr="00F2347F" w:rsidRDefault="00F2347F" w:rsidP="00F2347F">
            <w:pPr>
              <w:spacing w:after="240"/>
              <w:contextualSpacing/>
              <w:jc w:val="both"/>
              <w:rPr>
                <w:rFonts w:ascii="Times New Roman" w:hAnsi="Times New Roman" w:cs="Times New Roman"/>
                <w:i/>
                <w:kern w:val="2"/>
                <w:sz w:val="24"/>
                <w:szCs w:val="24"/>
                <w:lang w:val="ro-MD"/>
                <w14:ligatures w14:val="standardContextual"/>
              </w:rPr>
            </w:pPr>
            <w:r w:rsidRPr="00F2347F">
              <w:rPr>
                <w:rFonts w:ascii="Times New Roman" w:hAnsi="Times New Roman" w:cs="Times New Roman"/>
                <w:i/>
                <w:kern w:val="2"/>
                <w:sz w:val="24"/>
                <w:szCs w:val="24"/>
                <w:lang w:val="ro-MD"/>
                <w14:ligatures w14:val="standardContextual"/>
              </w:rPr>
              <w:t xml:space="preserve">1) </w:t>
            </w:r>
            <w:r w:rsidRPr="00F2347F">
              <w:rPr>
                <w:rFonts w:ascii="Times New Roman" w:hAnsi="Times New Roman" w:cs="Times New Roman"/>
                <w:i/>
                <w:kern w:val="2"/>
                <w:sz w:val="24"/>
                <w:szCs w:val="24"/>
                <w:lang w:val="ro-MD"/>
                <w14:ligatures w14:val="standardContextual"/>
              </w:rPr>
              <w:t>se completează cu alineatele (2</w:t>
            </w:r>
            <w:r w:rsidRPr="00F2347F">
              <w:rPr>
                <w:rFonts w:ascii="Times New Roman" w:hAnsi="Times New Roman" w:cs="Times New Roman"/>
                <w:i/>
                <w:kern w:val="2"/>
                <w:sz w:val="24"/>
                <w:szCs w:val="24"/>
                <w:vertAlign w:val="superscript"/>
                <w:lang w:val="ro-MD"/>
                <w14:ligatures w14:val="standardContextual"/>
              </w:rPr>
              <w:t>1</w:t>
            </w:r>
            <w:r w:rsidRPr="00F2347F">
              <w:rPr>
                <w:rFonts w:ascii="Times New Roman" w:hAnsi="Times New Roman" w:cs="Times New Roman"/>
                <w:i/>
                <w:kern w:val="2"/>
                <w:sz w:val="24"/>
                <w:szCs w:val="24"/>
                <w:lang w:val="ro-MD"/>
                <w14:ligatures w14:val="standardContextual"/>
              </w:rPr>
              <w:t>) și (6</w:t>
            </w:r>
            <w:r w:rsidRPr="00F2347F">
              <w:rPr>
                <w:rFonts w:ascii="Times New Roman" w:hAnsi="Times New Roman" w:cs="Times New Roman"/>
                <w:i/>
                <w:kern w:val="2"/>
                <w:sz w:val="24"/>
                <w:szCs w:val="24"/>
                <w:vertAlign w:val="superscript"/>
                <w:lang w:val="ro-MD"/>
                <w14:ligatures w14:val="standardContextual"/>
              </w:rPr>
              <w:t>1</w:t>
            </w:r>
            <w:r w:rsidRPr="00F2347F">
              <w:rPr>
                <w:rFonts w:ascii="Times New Roman" w:hAnsi="Times New Roman" w:cs="Times New Roman"/>
                <w:i/>
                <w:kern w:val="2"/>
                <w:sz w:val="24"/>
                <w:szCs w:val="24"/>
                <w:lang w:val="ro-MD"/>
                <w14:ligatures w14:val="standardContextual"/>
              </w:rPr>
              <w:t>) cu următorul cuprins:</w:t>
            </w:r>
          </w:p>
          <w:p w:rsidR="00BA5977" w:rsidRPr="002A1BF2" w:rsidRDefault="00A50B26" w:rsidP="002A1BF2">
            <w:pPr>
              <w:jc w:val="both"/>
              <w:rPr>
                <w:rFonts w:ascii="Times New Roman" w:hAnsi="Times New Roman" w:cs="Times New Roman"/>
                <w:sz w:val="24"/>
                <w:szCs w:val="24"/>
                <w:shd w:val="clear" w:color="auto" w:fill="FFFFFF"/>
                <w:lang w:val="ro-RO"/>
              </w:rPr>
            </w:pPr>
            <w:r w:rsidRPr="002A1BF2">
              <w:rPr>
                <w:rFonts w:ascii="Times New Roman" w:hAnsi="Times New Roman" w:cs="Times New Roman"/>
                <w:color w:val="000000"/>
                <w:sz w:val="24"/>
                <w:szCs w:val="24"/>
                <w:lang w:val="ro-MD"/>
              </w:rPr>
              <w:t>(2</w:t>
            </w:r>
            <w:r w:rsidRPr="002A1BF2">
              <w:rPr>
                <w:rFonts w:ascii="Times New Roman" w:hAnsi="Times New Roman" w:cs="Times New Roman"/>
                <w:color w:val="000000"/>
                <w:sz w:val="24"/>
                <w:szCs w:val="24"/>
                <w:vertAlign w:val="superscript"/>
                <w:lang w:val="ro-MD"/>
              </w:rPr>
              <w:t>1</w:t>
            </w:r>
            <w:r w:rsidRPr="002A1BF2">
              <w:rPr>
                <w:rFonts w:ascii="Times New Roman" w:hAnsi="Times New Roman" w:cs="Times New Roman"/>
                <w:color w:val="000000"/>
                <w:sz w:val="24"/>
                <w:szCs w:val="24"/>
                <w:lang w:val="ro-MD"/>
              </w:rPr>
              <w:t>)</w:t>
            </w:r>
            <w:r w:rsidR="00080D49" w:rsidRPr="002A1BF2">
              <w:rPr>
                <w:rFonts w:ascii="Times New Roman" w:hAnsi="Times New Roman" w:cs="Times New Roman"/>
                <w:sz w:val="24"/>
                <w:szCs w:val="24"/>
                <w:lang w:val="ro-MD"/>
              </w:rPr>
              <w:t xml:space="preserve"> </w:t>
            </w:r>
            <w:r w:rsidR="00080D49" w:rsidRPr="002A1BF2">
              <w:rPr>
                <w:rFonts w:ascii="Times New Roman" w:hAnsi="Times New Roman" w:cs="Times New Roman"/>
                <w:sz w:val="24"/>
                <w:szCs w:val="24"/>
                <w:shd w:val="clear" w:color="auto" w:fill="FFFFFF"/>
                <w:lang w:val="ro-RO"/>
              </w:rPr>
              <w:t>Organizațiile de gestiune colectivă pot solicita în negocieri o remunerație minimă ce urmează a fi achitată de către utilizatori pentru asigurarea unui venit minim titularilor de drepturi în cazul în care sumele echivalentului remunerației procentuale sunt mai mici decât sum</w:t>
            </w:r>
            <w:r w:rsidR="00080D49" w:rsidRPr="002A1BF2">
              <w:rPr>
                <w:rFonts w:ascii="Times New Roman" w:hAnsi="Times New Roman" w:cs="Times New Roman"/>
                <w:sz w:val="24"/>
                <w:szCs w:val="24"/>
                <w:shd w:val="clear" w:color="auto" w:fill="FFFFFF"/>
                <w:lang w:val="ro-RO"/>
              </w:rPr>
              <w:t>a remunerației minime stabilită</w:t>
            </w:r>
            <w:r w:rsidR="00080D49" w:rsidRPr="002A1BF2">
              <w:rPr>
                <w:rFonts w:ascii="Times New Roman" w:hAnsi="Times New Roman" w:cs="Times New Roman"/>
                <w:sz w:val="24"/>
                <w:szCs w:val="24"/>
                <w:shd w:val="clear" w:color="auto" w:fill="FFFFFF"/>
                <w:lang w:val="ro-RO"/>
              </w:rPr>
              <w:t xml:space="preserve">. </w:t>
            </w:r>
          </w:p>
        </w:tc>
        <w:tc>
          <w:tcPr>
            <w:tcW w:w="3594" w:type="dxa"/>
          </w:tcPr>
          <w:p w:rsidR="00BA5977" w:rsidRPr="002A1BF2" w:rsidRDefault="00080D49" w:rsidP="002A1BF2">
            <w:pPr>
              <w:jc w:val="both"/>
              <w:rPr>
                <w:rFonts w:ascii="Times New Roman" w:hAnsi="Times New Roman" w:cs="Times New Roman"/>
                <w:color w:val="000000"/>
                <w:sz w:val="24"/>
                <w:szCs w:val="24"/>
                <w:shd w:val="clear" w:color="auto" w:fill="FFFFFF"/>
                <w:lang w:val="ro-MD"/>
              </w:rPr>
            </w:pPr>
            <w:r w:rsidRPr="002A1BF2">
              <w:rPr>
                <w:rFonts w:ascii="Times New Roman" w:hAnsi="Times New Roman" w:cs="Times New Roman"/>
                <w:color w:val="000000"/>
                <w:sz w:val="24"/>
                <w:szCs w:val="24"/>
                <w:lang w:val="ro-MD"/>
              </w:rPr>
              <w:t>(2</w:t>
            </w:r>
            <w:r w:rsidRPr="002A1BF2">
              <w:rPr>
                <w:rFonts w:ascii="Times New Roman" w:hAnsi="Times New Roman" w:cs="Times New Roman"/>
                <w:color w:val="000000"/>
                <w:sz w:val="24"/>
                <w:szCs w:val="24"/>
                <w:vertAlign w:val="superscript"/>
                <w:lang w:val="ro-MD"/>
              </w:rPr>
              <w:t>1</w:t>
            </w:r>
            <w:r w:rsidRPr="002A1BF2">
              <w:rPr>
                <w:rFonts w:ascii="Times New Roman" w:hAnsi="Times New Roman" w:cs="Times New Roman"/>
                <w:color w:val="000000"/>
                <w:sz w:val="24"/>
                <w:szCs w:val="24"/>
                <w:lang w:val="ro-MD"/>
              </w:rPr>
              <w:t>)</w:t>
            </w:r>
            <w:r w:rsidRPr="002A1BF2">
              <w:rPr>
                <w:rFonts w:ascii="Times New Roman" w:hAnsi="Times New Roman" w:cs="Times New Roman"/>
                <w:sz w:val="24"/>
                <w:szCs w:val="24"/>
                <w:lang w:val="ro-MD"/>
              </w:rPr>
              <w:t xml:space="preserve"> </w:t>
            </w:r>
            <w:r w:rsidRPr="002A1BF2">
              <w:rPr>
                <w:rFonts w:ascii="Times New Roman" w:hAnsi="Times New Roman" w:cs="Times New Roman"/>
                <w:sz w:val="24"/>
                <w:szCs w:val="24"/>
                <w:shd w:val="clear" w:color="auto" w:fill="FFFFFF"/>
                <w:lang w:val="ro-RO"/>
              </w:rPr>
              <w:t>Organizațiile de gestiune colectivă pot solicita în negocieri o remunerație minimă ce urmează a fi achitată de către utilizatori pentru asigurarea unui venit minim titularilor de drepturi în cazul în care sumele echivalentului remunerației procentuale sunt mai mici decât suma remunerației minime stabilită.</w:t>
            </w:r>
          </w:p>
        </w:tc>
      </w:tr>
      <w:tr w:rsidR="00FE500E" w:rsidRPr="002A1BF2" w:rsidTr="008070E4">
        <w:tc>
          <w:tcPr>
            <w:tcW w:w="757" w:type="dxa"/>
          </w:tcPr>
          <w:p w:rsidR="00FE500E" w:rsidRPr="002A1BF2" w:rsidRDefault="00FE500E" w:rsidP="002A1BF2">
            <w:pPr>
              <w:tabs>
                <w:tab w:val="left" w:pos="2977"/>
                <w:tab w:val="left" w:pos="5812"/>
              </w:tabs>
              <w:ind w:left="360"/>
              <w:jc w:val="center"/>
              <w:rPr>
                <w:rFonts w:ascii="Times New Roman" w:hAnsi="Times New Roman" w:cs="Times New Roman"/>
                <w:b/>
                <w:sz w:val="24"/>
                <w:szCs w:val="24"/>
                <w:lang w:val="ro-MD"/>
              </w:rPr>
            </w:pPr>
          </w:p>
        </w:tc>
        <w:tc>
          <w:tcPr>
            <w:tcW w:w="4350" w:type="dxa"/>
          </w:tcPr>
          <w:p w:rsidR="00FE500E" w:rsidRPr="002A1BF2" w:rsidRDefault="00FE500E" w:rsidP="002A1BF2">
            <w:pPr>
              <w:shd w:val="clear" w:color="auto" w:fill="FFFFFF"/>
              <w:jc w:val="both"/>
              <w:rPr>
                <w:rFonts w:ascii="Times New Roman" w:eastAsia="Times New Roman" w:hAnsi="Times New Roman" w:cs="Times New Roman"/>
                <w:color w:val="333333"/>
                <w:sz w:val="24"/>
                <w:szCs w:val="24"/>
                <w:lang w:val="ro-MD"/>
              </w:rPr>
            </w:pPr>
          </w:p>
        </w:tc>
        <w:tc>
          <w:tcPr>
            <w:tcW w:w="4249" w:type="dxa"/>
          </w:tcPr>
          <w:p w:rsidR="00FE500E" w:rsidRPr="002A1BF2" w:rsidRDefault="00A50B26" w:rsidP="002A1BF2">
            <w:pPr>
              <w:jc w:val="both"/>
              <w:rPr>
                <w:rFonts w:ascii="Times New Roman" w:hAnsi="Times New Roman" w:cs="Times New Roman"/>
                <w:color w:val="000000"/>
                <w:sz w:val="24"/>
                <w:szCs w:val="24"/>
                <w:shd w:val="clear" w:color="auto" w:fill="FFFFFF"/>
                <w:lang w:val="ro-MD"/>
              </w:rPr>
            </w:pPr>
            <w:r w:rsidRPr="002A1BF2">
              <w:rPr>
                <w:rFonts w:ascii="Times New Roman" w:hAnsi="Times New Roman" w:cs="Times New Roman"/>
                <w:color w:val="000000"/>
                <w:sz w:val="24"/>
                <w:szCs w:val="24"/>
                <w:shd w:val="clear" w:color="auto" w:fill="FFFFFF"/>
                <w:lang w:val="ro-MD"/>
              </w:rPr>
              <w:t>(6</w:t>
            </w:r>
            <w:r w:rsidRPr="002A1BF2">
              <w:rPr>
                <w:rFonts w:ascii="Times New Roman" w:hAnsi="Times New Roman" w:cs="Times New Roman"/>
                <w:color w:val="000000"/>
                <w:sz w:val="24"/>
                <w:szCs w:val="24"/>
                <w:shd w:val="clear" w:color="auto" w:fill="FFFFFF"/>
                <w:vertAlign w:val="superscript"/>
                <w:lang w:val="ro-MD"/>
              </w:rPr>
              <w:t>1</w:t>
            </w:r>
            <w:r w:rsidRPr="002A1BF2">
              <w:rPr>
                <w:rFonts w:ascii="Times New Roman" w:hAnsi="Times New Roman" w:cs="Times New Roman"/>
                <w:color w:val="000000"/>
                <w:sz w:val="24"/>
                <w:szCs w:val="24"/>
                <w:shd w:val="clear" w:color="auto" w:fill="FFFFFF"/>
                <w:lang w:val="ro-MD"/>
              </w:rPr>
              <w:t>)</w:t>
            </w:r>
            <w:r w:rsidR="00080D49" w:rsidRPr="002A1BF2">
              <w:rPr>
                <w:rFonts w:ascii="Times New Roman" w:hAnsi="Times New Roman" w:cs="Times New Roman"/>
                <w:sz w:val="24"/>
                <w:szCs w:val="24"/>
                <w:lang w:val="ro-MD"/>
              </w:rPr>
              <w:t xml:space="preserve"> </w:t>
            </w:r>
            <w:r w:rsidR="00080D49" w:rsidRPr="002A1BF2">
              <w:rPr>
                <w:rFonts w:ascii="Times New Roman" w:hAnsi="Times New Roman" w:cs="Times New Roman"/>
                <w:sz w:val="24"/>
                <w:szCs w:val="24"/>
                <w:shd w:val="clear" w:color="auto" w:fill="FFFFFF"/>
                <w:lang w:val="ro-MD"/>
              </w:rPr>
              <w:t>Pentru activitatea de retransmitere prin cablu și activitatea de retransmisie a programelor de radio și televiziune, organizațiile de gestiune colectivă pot solici</w:t>
            </w:r>
            <w:r w:rsidR="00080D49" w:rsidRPr="002A1BF2">
              <w:rPr>
                <w:rFonts w:ascii="Times New Roman" w:hAnsi="Times New Roman" w:cs="Times New Roman"/>
                <w:sz w:val="24"/>
                <w:szCs w:val="24"/>
                <w:shd w:val="clear" w:color="auto" w:fill="FFFFFF"/>
                <w:lang w:val="ro-MD"/>
              </w:rPr>
              <w:t>ta numai remunerații forfetare.</w:t>
            </w:r>
          </w:p>
        </w:tc>
        <w:tc>
          <w:tcPr>
            <w:tcW w:w="3594" w:type="dxa"/>
          </w:tcPr>
          <w:p w:rsidR="00FE500E" w:rsidRPr="002A1BF2" w:rsidRDefault="00080D49" w:rsidP="002A1BF2">
            <w:pPr>
              <w:shd w:val="clear" w:color="auto" w:fill="FFFFFF"/>
              <w:jc w:val="both"/>
              <w:rPr>
                <w:rFonts w:ascii="Times New Roman" w:hAnsi="Times New Roman" w:cs="Times New Roman"/>
                <w:b/>
                <w:color w:val="000000"/>
                <w:sz w:val="24"/>
                <w:szCs w:val="24"/>
                <w:shd w:val="clear" w:color="auto" w:fill="FFFFFF"/>
                <w:lang w:val="ro-MD"/>
              </w:rPr>
            </w:pPr>
            <w:r w:rsidRPr="002A1BF2">
              <w:rPr>
                <w:rFonts w:ascii="Times New Roman" w:hAnsi="Times New Roman" w:cs="Times New Roman"/>
                <w:color w:val="000000"/>
                <w:sz w:val="24"/>
                <w:szCs w:val="24"/>
                <w:shd w:val="clear" w:color="auto" w:fill="FFFFFF"/>
                <w:lang w:val="ro-MD"/>
              </w:rPr>
              <w:t>(6</w:t>
            </w:r>
            <w:r w:rsidRPr="002A1BF2">
              <w:rPr>
                <w:rFonts w:ascii="Times New Roman" w:hAnsi="Times New Roman" w:cs="Times New Roman"/>
                <w:color w:val="000000"/>
                <w:sz w:val="24"/>
                <w:szCs w:val="24"/>
                <w:shd w:val="clear" w:color="auto" w:fill="FFFFFF"/>
                <w:vertAlign w:val="superscript"/>
                <w:lang w:val="ro-MD"/>
              </w:rPr>
              <w:t>1</w:t>
            </w:r>
            <w:r w:rsidRPr="002A1BF2">
              <w:rPr>
                <w:rFonts w:ascii="Times New Roman" w:hAnsi="Times New Roman" w:cs="Times New Roman"/>
                <w:color w:val="000000"/>
                <w:sz w:val="24"/>
                <w:szCs w:val="24"/>
                <w:shd w:val="clear" w:color="auto" w:fill="FFFFFF"/>
                <w:lang w:val="ro-MD"/>
              </w:rPr>
              <w:t>)</w:t>
            </w:r>
            <w:r w:rsidRPr="002A1BF2">
              <w:rPr>
                <w:rFonts w:ascii="Times New Roman" w:hAnsi="Times New Roman" w:cs="Times New Roman"/>
                <w:sz w:val="24"/>
                <w:szCs w:val="24"/>
                <w:lang w:val="ro-MD"/>
              </w:rPr>
              <w:t xml:space="preserve"> </w:t>
            </w:r>
            <w:r w:rsidRPr="002A1BF2">
              <w:rPr>
                <w:rFonts w:ascii="Times New Roman" w:hAnsi="Times New Roman" w:cs="Times New Roman"/>
                <w:sz w:val="24"/>
                <w:szCs w:val="24"/>
                <w:shd w:val="clear" w:color="auto" w:fill="FFFFFF"/>
                <w:lang w:val="ro-MD"/>
              </w:rPr>
              <w:t>Pentru activitatea de retransmitere prin cablu și activitatea de retransmisie a programelor de radio și televiziune, organizațiile de gestiune colectivă pot solicita numai remunerații forfetare.</w:t>
            </w:r>
          </w:p>
        </w:tc>
      </w:tr>
      <w:tr w:rsidR="00041BC8" w:rsidRPr="002A1BF2" w:rsidTr="008070E4">
        <w:tc>
          <w:tcPr>
            <w:tcW w:w="757" w:type="dxa"/>
          </w:tcPr>
          <w:p w:rsidR="00041BC8" w:rsidRPr="002A1BF2" w:rsidRDefault="00041BC8" w:rsidP="002A1BF2">
            <w:pPr>
              <w:tabs>
                <w:tab w:val="left" w:pos="2977"/>
                <w:tab w:val="left" w:pos="5812"/>
              </w:tabs>
              <w:ind w:left="360"/>
              <w:jc w:val="center"/>
              <w:rPr>
                <w:rFonts w:ascii="Times New Roman" w:hAnsi="Times New Roman" w:cs="Times New Roman"/>
                <w:b/>
                <w:sz w:val="24"/>
                <w:szCs w:val="24"/>
                <w:lang w:val="ro-MD"/>
              </w:rPr>
            </w:pPr>
          </w:p>
        </w:tc>
        <w:tc>
          <w:tcPr>
            <w:tcW w:w="4350" w:type="dxa"/>
          </w:tcPr>
          <w:p w:rsidR="00041BC8" w:rsidRPr="002A1BF2" w:rsidRDefault="00DC1A47" w:rsidP="002A1BF2">
            <w:pPr>
              <w:shd w:val="clear" w:color="auto" w:fill="FFFFFF"/>
              <w:jc w:val="both"/>
              <w:rPr>
                <w:rFonts w:ascii="Times New Roman" w:eastAsia="Times New Roman" w:hAnsi="Times New Roman" w:cs="Times New Roman"/>
                <w:b/>
                <w:bCs/>
                <w:color w:val="000000"/>
                <w:sz w:val="24"/>
                <w:szCs w:val="24"/>
                <w:lang w:val="ro-MD"/>
              </w:rPr>
            </w:pPr>
            <w:r w:rsidRPr="002A1BF2">
              <w:rPr>
                <w:rFonts w:ascii="Times New Roman" w:hAnsi="Times New Roman" w:cs="Times New Roman"/>
                <w:color w:val="000000"/>
                <w:sz w:val="24"/>
                <w:szCs w:val="24"/>
                <w:shd w:val="clear" w:color="auto" w:fill="FFFFFF"/>
                <w:lang w:val="ro-MD"/>
              </w:rPr>
              <w:t>(7) Remunerațiile forfetare se pot modifica anual, începând cu prima lună a anului următor celui în care s-au publicat metodologiile, de către organizațiile de gestiune colectivă, pe baza indicelui de inflație stabilit la nivel național. Aceste modificări se depun la AGEPI, urmând a fi publicate în Monitorul Oficial al Republicii Moldova în termen de 5 zile de la data depunerii. Modificările intră în vigoare în termen de o lună de la data publicării.</w:t>
            </w:r>
          </w:p>
        </w:tc>
        <w:tc>
          <w:tcPr>
            <w:tcW w:w="4249" w:type="dxa"/>
          </w:tcPr>
          <w:p w:rsidR="00041BC8" w:rsidRPr="002A1BF2" w:rsidRDefault="00080D49" w:rsidP="002A1BF2">
            <w:pPr>
              <w:jc w:val="both"/>
              <w:rPr>
                <w:rFonts w:ascii="Times New Roman" w:hAnsi="Times New Roman" w:cs="Times New Roman"/>
                <w:color w:val="000000"/>
                <w:sz w:val="24"/>
                <w:szCs w:val="24"/>
                <w:lang w:val="ro-MD"/>
              </w:rPr>
            </w:pPr>
            <w:r w:rsidRPr="002A1BF2">
              <w:rPr>
                <w:rFonts w:ascii="Times New Roman" w:hAnsi="Times New Roman" w:cs="Times New Roman"/>
                <w:sz w:val="24"/>
                <w:szCs w:val="24"/>
                <w:shd w:val="clear" w:color="auto" w:fill="FFFFFF"/>
                <w:lang w:val="ro-MD"/>
              </w:rPr>
              <w:t>la alineatul (7), enunțurile doi și trei vor avea următorul cuprins: “Aceste modificări se depun la AGEPI, care la rândul său, prin ordinul directorului general le transmite spre publicare în Monitorul Oficial al Republicii Moldova în termen de 5 zile lucrătoare de la data depunerii. Remunerațiile forfetare modificate intră în vigoare la data publicării în Monitorul Oficial al Republicii Moldova, iar cele anterioare își încetează efectele de drept</w:t>
            </w:r>
            <w:r w:rsidR="008608B5" w:rsidRPr="002A1BF2">
              <w:rPr>
                <w:rFonts w:ascii="Times New Roman" w:hAnsi="Times New Roman" w:cs="Times New Roman"/>
                <w:sz w:val="24"/>
                <w:szCs w:val="24"/>
                <w:shd w:val="clear" w:color="auto" w:fill="FFFFFF"/>
                <w:lang w:val="ro-MD"/>
              </w:rPr>
              <w:t>”</w:t>
            </w:r>
            <w:r w:rsidRPr="002A1BF2">
              <w:rPr>
                <w:rFonts w:ascii="Times New Roman" w:hAnsi="Times New Roman" w:cs="Times New Roman"/>
                <w:sz w:val="24"/>
                <w:szCs w:val="24"/>
                <w:shd w:val="clear" w:color="auto" w:fill="FFFFFF"/>
                <w:lang w:val="ro-MD"/>
              </w:rPr>
              <w:t>.</w:t>
            </w:r>
          </w:p>
        </w:tc>
        <w:tc>
          <w:tcPr>
            <w:tcW w:w="3594" w:type="dxa"/>
          </w:tcPr>
          <w:p w:rsidR="00041BC8" w:rsidRPr="002A1BF2" w:rsidRDefault="008608B5" w:rsidP="002A1BF2">
            <w:pPr>
              <w:shd w:val="clear" w:color="auto" w:fill="FFFFFF"/>
              <w:jc w:val="both"/>
              <w:rPr>
                <w:rFonts w:ascii="Times New Roman" w:eastAsia="Times New Roman" w:hAnsi="Times New Roman" w:cs="Times New Roman"/>
                <w:b/>
                <w:bCs/>
                <w:color w:val="000000"/>
                <w:sz w:val="24"/>
                <w:szCs w:val="24"/>
                <w:lang w:val="ro-MD"/>
              </w:rPr>
            </w:pPr>
            <w:r w:rsidRPr="002A1BF2">
              <w:rPr>
                <w:rFonts w:ascii="Times New Roman" w:hAnsi="Times New Roman" w:cs="Times New Roman"/>
                <w:color w:val="000000"/>
                <w:sz w:val="24"/>
                <w:szCs w:val="24"/>
                <w:shd w:val="clear" w:color="auto" w:fill="FFFFFF"/>
                <w:lang w:val="ro-MD"/>
              </w:rPr>
              <w:t xml:space="preserve">(7) Remunerațiile forfetare se pot modifica anual, începând cu prima lună a anului următor celui în care s-au publicat metodologiile, de către organizațiile de gestiune colectivă, pe baza indicelui de inflație stabilit la nivel național. </w:t>
            </w:r>
            <w:r w:rsidRPr="002A1BF2">
              <w:rPr>
                <w:rFonts w:ascii="Times New Roman" w:hAnsi="Times New Roman" w:cs="Times New Roman"/>
                <w:b/>
                <w:sz w:val="24"/>
                <w:szCs w:val="24"/>
                <w:shd w:val="clear" w:color="auto" w:fill="FFFFFF"/>
                <w:lang w:val="ro-MD"/>
              </w:rPr>
              <w:t>Aceste modificări se depun la AGEPI, care la rândul său, prin ordinul directorului general le transmite spre publicare în Monitorul Oficial al Republicii Moldova în termen de 5 zile lucrătoare de la data depunerii. Remunerațiile forfetare modificate intră în vigoare la data publicării în Monitorul Oficial al Republicii Moldova, iar cele anterioare își încetează efectele de drept</w:t>
            </w:r>
            <w:r w:rsidRPr="002A1BF2">
              <w:rPr>
                <w:rFonts w:ascii="Times New Roman" w:hAnsi="Times New Roman" w:cs="Times New Roman"/>
                <w:b/>
                <w:color w:val="000000"/>
                <w:sz w:val="24"/>
                <w:szCs w:val="24"/>
                <w:shd w:val="clear" w:color="auto" w:fill="FFFFFF"/>
                <w:lang w:val="ro-MD"/>
              </w:rPr>
              <w:t>.</w:t>
            </w:r>
          </w:p>
        </w:tc>
      </w:tr>
      <w:tr w:rsidR="00DC1A47" w:rsidRPr="002A1BF2" w:rsidTr="008070E4">
        <w:tc>
          <w:tcPr>
            <w:tcW w:w="757" w:type="dxa"/>
          </w:tcPr>
          <w:p w:rsidR="00DC1A47" w:rsidRPr="002A1BF2" w:rsidRDefault="00DC1A47" w:rsidP="002A1BF2">
            <w:pPr>
              <w:tabs>
                <w:tab w:val="left" w:pos="2977"/>
                <w:tab w:val="left" w:pos="5812"/>
              </w:tabs>
              <w:ind w:left="360"/>
              <w:jc w:val="center"/>
              <w:rPr>
                <w:rFonts w:ascii="Times New Roman" w:hAnsi="Times New Roman" w:cs="Times New Roman"/>
                <w:b/>
                <w:sz w:val="24"/>
                <w:szCs w:val="24"/>
                <w:lang w:val="ro-MD"/>
              </w:rPr>
            </w:pPr>
          </w:p>
        </w:tc>
        <w:tc>
          <w:tcPr>
            <w:tcW w:w="4350" w:type="dxa"/>
          </w:tcPr>
          <w:p w:rsidR="00DC1A47" w:rsidRPr="002A1BF2" w:rsidRDefault="00DC1A47" w:rsidP="002A1BF2">
            <w:pPr>
              <w:shd w:val="clear" w:color="auto" w:fill="FFFFFF"/>
              <w:jc w:val="both"/>
              <w:rPr>
                <w:rFonts w:ascii="Times New Roman" w:hAnsi="Times New Roman" w:cs="Times New Roman"/>
                <w:color w:val="000000"/>
                <w:sz w:val="24"/>
                <w:szCs w:val="24"/>
                <w:shd w:val="clear" w:color="auto" w:fill="FFFFFF"/>
                <w:lang w:val="ro-MD"/>
              </w:rPr>
            </w:pPr>
          </w:p>
        </w:tc>
        <w:tc>
          <w:tcPr>
            <w:tcW w:w="4249" w:type="dxa"/>
          </w:tcPr>
          <w:p w:rsidR="00661A54" w:rsidRDefault="00661A54" w:rsidP="00661A54">
            <w:pPr>
              <w:jc w:val="both"/>
              <w:rPr>
                <w:rFonts w:ascii="Times New Roman" w:hAnsi="Times New Roman" w:cs="Times New Roman"/>
                <w:i/>
                <w:sz w:val="24"/>
                <w:szCs w:val="24"/>
                <w:lang w:val="ro-MD"/>
              </w:rPr>
            </w:pPr>
            <w:r w:rsidRPr="00661A54">
              <w:rPr>
                <w:rFonts w:ascii="Times New Roman" w:hAnsi="Times New Roman" w:cs="Times New Roman"/>
                <w:i/>
                <w:sz w:val="24"/>
                <w:szCs w:val="24"/>
                <w:lang w:val="ro-MD"/>
              </w:rPr>
              <w:t>3) se completează cu alineatele (9) - (12) cu următorul cuprins:</w:t>
            </w:r>
          </w:p>
          <w:p w:rsidR="00DC1A47" w:rsidRPr="002A1BF2" w:rsidRDefault="00DC1A47" w:rsidP="00661A54">
            <w:pPr>
              <w:jc w:val="both"/>
              <w:rPr>
                <w:rFonts w:ascii="Times New Roman" w:hAnsi="Times New Roman" w:cs="Times New Roman"/>
                <w:sz w:val="24"/>
                <w:szCs w:val="24"/>
                <w:shd w:val="clear" w:color="auto" w:fill="FFFFFF"/>
                <w:lang w:val="ro-MD"/>
              </w:rPr>
            </w:pPr>
            <w:r w:rsidRPr="002A1BF2">
              <w:rPr>
                <w:rFonts w:ascii="Times New Roman" w:hAnsi="Times New Roman" w:cs="Times New Roman"/>
                <w:color w:val="000000"/>
                <w:sz w:val="24"/>
                <w:szCs w:val="24"/>
                <w:lang w:val="ro-MD"/>
              </w:rPr>
              <w:t>(9)</w:t>
            </w:r>
            <w:r w:rsidR="00465CCD" w:rsidRPr="002A1BF2">
              <w:rPr>
                <w:rFonts w:ascii="Times New Roman" w:hAnsi="Times New Roman" w:cs="Times New Roman"/>
                <w:sz w:val="24"/>
                <w:szCs w:val="24"/>
                <w:shd w:val="clear" w:color="auto" w:fill="FFFFFF"/>
                <w:lang w:val="ro-MD"/>
              </w:rPr>
              <w:t xml:space="preserve"> </w:t>
            </w:r>
            <w:r w:rsidR="00465CCD" w:rsidRPr="002A1BF2">
              <w:rPr>
                <w:rFonts w:ascii="Times New Roman" w:hAnsi="Times New Roman" w:cs="Times New Roman"/>
                <w:sz w:val="24"/>
                <w:szCs w:val="24"/>
                <w:shd w:val="clear" w:color="auto" w:fill="FFFFFF"/>
                <w:lang w:val="ro-MD"/>
              </w:rPr>
              <w:t xml:space="preserve">În cazul în care părțile din comisia de negociere nu ajung la o înțelegere în termenul prevăzut la art. 100 alin. (5), negocierile se consideră eșuate și se consemnează într-un protocol, care se depune la AGEPI în termen de 3 zile de la semnarea acestuia. </w:t>
            </w:r>
          </w:p>
        </w:tc>
        <w:tc>
          <w:tcPr>
            <w:tcW w:w="3594" w:type="dxa"/>
          </w:tcPr>
          <w:p w:rsidR="00DC1A47" w:rsidRPr="002A1BF2" w:rsidRDefault="00FB4AE0" w:rsidP="002A1BF2">
            <w:pPr>
              <w:shd w:val="clear" w:color="auto" w:fill="FFFFFF"/>
              <w:jc w:val="both"/>
              <w:rPr>
                <w:rFonts w:ascii="Times New Roman" w:eastAsia="Times New Roman" w:hAnsi="Times New Roman" w:cs="Times New Roman"/>
                <w:b/>
                <w:bCs/>
                <w:color w:val="000000"/>
                <w:sz w:val="24"/>
                <w:szCs w:val="24"/>
                <w:lang w:val="ro-MD"/>
              </w:rPr>
            </w:pPr>
            <w:r w:rsidRPr="002A1BF2">
              <w:rPr>
                <w:rFonts w:ascii="Times New Roman" w:hAnsi="Times New Roman" w:cs="Times New Roman"/>
                <w:color w:val="000000"/>
                <w:sz w:val="24"/>
                <w:szCs w:val="24"/>
                <w:lang w:val="ro-MD"/>
              </w:rPr>
              <w:t>(9)</w:t>
            </w:r>
            <w:r w:rsidRPr="002A1BF2">
              <w:rPr>
                <w:rFonts w:ascii="Times New Roman" w:hAnsi="Times New Roman" w:cs="Times New Roman"/>
                <w:sz w:val="24"/>
                <w:szCs w:val="24"/>
                <w:shd w:val="clear" w:color="auto" w:fill="FFFFFF"/>
                <w:lang w:val="ro-MD"/>
              </w:rPr>
              <w:t xml:space="preserve"> În cazul în care părțile din comisia de negociere nu ajung la o înțelegere în termenul prevăzut la art. 100 alin. (5), negocierile se consideră eșuate și se consemnează într-un protocol, care se depune la AGEPI în termen de 3 zile de la semnarea acestuia.</w:t>
            </w:r>
          </w:p>
        </w:tc>
      </w:tr>
      <w:tr w:rsidR="00DC1A47" w:rsidRPr="002A1BF2" w:rsidTr="008070E4">
        <w:tc>
          <w:tcPr>
            <w:tcW w:w="757" w:type="dxa"/>
          </w:tcPr>
          <w:p w:rsidR="00DC1A47" w:rsidRPr="002A1BF2" w:rsidRDefault="00DC1A47" w:rsidP="002A1BF2">
            <w:pPr>
              <w:tabs>
                <w:tab w:val="left" w:pos="2977"/>
                <w:tab w:val="left" w:pos="5812"/>
              </w:tabs>
              <w:ind w:left="360"/>
              <w:jc w:val="center"/>
              <w:rPr>
                <w:rFonts w:ascii="Times New Roman" w:hAnsi="Times New Roman" w:cs="Times New Roman"/>
                <w:b/>
                <w:sz w:val="24"/>
                <w:szCs w:val="24"/>
                <w:lang w:val="ro-MD"/>
              </w:rPr>
            </w:pPr>
          </w:p>
        </w:tc>
        <w:tc>
          <w:tcPr>
            <w:tcW w:w="4350" w:type="dxa"/>
          </w:tcPr>
          <w:p w:rsidR="00DC1A47" w:rsidRPr="002A1BF2" w:rsidRDefault="00DC1A47" w:rsidP="002A1BF2">
            <w:pPr>
              <w:shd w:val="clear" w:color="auto" w:fill="FFFFFF"/>
              <w:jc w:val="both"/>
              <w:rPr>
                <w:rFonts w:ascii="Times New Roman" w:hAnsi="Times New Roman" w:cs="Times New Roman"/>
                <w:color w:val="000000"/>
                <w:sz w:val="24"/>
                <w:szCs w:val="24"/>
                <w:shd w:val="clear" w:color="auto" w:fill="FFFFFF"/>
                <w:lang w:val="ro-MD"/>
              </w:rPr>
            </w:pPr>
          </w:p>
        </w:tc>
        <w:tc>
          <w:tcPr>
            <w:tcW w:w="4249" w:type="dxa"/>
          </w:tcPr>
          <w:p w:rsidR="00DC1A47" w:rsidRPr="002A1BF2" w:rsidRDefault="00465CCD" w:rsidP="002A1BF2">
            <w:pPr>
              <w:jc w:val="both"/>
              <w:rPr>
                <w:rFonts w:ascii="Times New Roman" w:hAnsi="Times New Roman" w:cs="Times New Roman"/>
                <w:sz w:val="24"/>
                <w:szCs w:val="24"/>
                <w:shd w:val="clear" w:color="auto" w:fill="FFFFFF"/>
                <w:lang w:val="ro-MD"/>
              </w:rPr>
            </w:pPr>
            <w:r w:rsidRPr="002A1BF2">
              <w:rPr>
                <w:rFonts w:ascii="Times New Roman" w:hAnsi="Times New Roman" w:cs="Times New Roman"/>
                <w:sz w:val="24"/>
                <w:szCs w:val="24"/>
                <w:shd w:val="clear" w:color="auto" w:fill="FFFFFF"/>
                <w:lang w:val="ro-MD"/>
              </w:rPr>
              <w:t xml:space="preserve">(10) În cazul în care în condițiile alin. (9) negocierile eșuează și pentru dreptul pentru care au fost inițiate negocierile nu există nici o metodologie publicată în Monitorul Oficial al Republicii Moldova, oricare dintre părți poate depune o cerere la AGEPI prin care să solicite emiterea metodologiei pentru acel drept. </w:t>
            </w:r>
          </w:p>
        </w:tc>
        <w:tc>
          <w:tcPr>
            <w:tcW w:w="3594" w:type="dxa"/>
          </w:tcPr>
          <w:p w:rsidR="00DC1A47" w:rsidRPr="002A1BF2" w:rsidRDefault="00FB4AE0" w:rsidP="002A1BF2">
            <w:pPr>
              <w:shd w:val="clear" w:color="auto" w:fill="FFFFFF"/>
              <w:jc w:val="both"/>
              <w:rPr>
                <w:rFonts w:ascii="Times New Roman" w:eastAsia="Times New Roman" w:hAnsi="Times New Roman" w:cs="Times New Roman"/>
                <w:b/>
                <w:bCs/>
                <w:color w:val="000000"/>
                <w:sz w:val="24"/>
                <w:szCs w:val="24"/>
                <w:lang w:val="ro-MD"/>
              </w:rPr>
            </w:pPr>
            <w:r w:rsidRPr="002A1BF2">
              <w:rPr>
                <w:rFonts w:ascii="Times New Roman" w:hAnsi="Times New Roman" w:cs="Times New Roman"/>
                <w:sz w:val="24"/>
                <w:szCs w:val="24"/>
                <w:shd w:val="clear" w:color="auto" w:fill="FFFFFF"/>
                <w:lang w:val="ro-MD"/>
              </w:rPr>
              <w:t>(10) În cazul în care în condițiile alin. (9) negocierile eșuează și pentru dreptul pentru care au fost inițiate negocierile nu există nici o metodologie publicată în Monitorul Oficial al Republicii Moldova, oricare dintre părți poate depune o cerere la AGEPI prin care să solicite emiterea metodologiei pentru acel drept.</w:t>
            </w:r>
          </w:p>
        </w:tc>
      </w:tr>
      <w:tr w:rsidR="00DC1A47" w:rsidRPr="002A1BF2" w:rsidTr="008070E4">
        <w:tc>
          <w:tcPr>
            <w:tcW w:w="757" w:type="dxa"/>
          </w:tcPr>
          <w:p w:rsidR="00DC1A47" w:rsidRPr="002A1BF2" w:rsidRDefault="00DC1A47" w:rsidP="002A1BF2">
            <w:pPr>
              <w:tabs>
                <w:tab w:val="left" w:pos="2977"/>
                <w:tab w:val="left" w:pos="5812"/>
              </w:tabs>
              <w:ind w:left="360"/>
              <w:jc w:val="center"/>
              <w:rPr>
                <w:rFonts w:ascii="Times New Roman" w:hAnsi="Times New Roman" w:cs="Times New Roman"/>
                <w:b/>
                <w:sz w:val="24"/>
                <w:szCs w:val="24"/>
                <w:lang w:val="ro-MD"/>
              </w:rPr>
            </w:pPr>
          </w:p>
        </w:tc>
        <w:tc>
          <w:tcPr>
            <w:tcW w:w="4350" w:type="dxa"/>
          </w:tcPr>
          <w:p w:rsidR="00DC1A47" w:rsidRPr="002A1BF2" w:rsidRDefault="00DC1A47" w:rsidP="002A1BF2">
            <w:pPr>
              <w:shd w:val="clear" w:color="auto" w:fill="FFFFFF"/>
              <w:jc w:val="both"/>
              <w:rPr>
                <w:rFonts w:ascii="Times New Roman" w:hAnsi="Times New Roman" w:cs="Times New Roman"/>
                <w:color w:val="000000"/>
                <w:sz w:val="24"/>
                <w:szCs w:val="24"/>
                <w:shd w:val="clear" w:color="auto" w:fill="FFFFFF"/>
                <w:lang w:val="ro-MD"/>
              </w:rPr>
            </w:pPr>
          </w:p>
        </w:tc>
        <w:tc>
          <w:tcPr>
            <w:tcW w:w="4249" w:type="dxa"/>
          </w:tcPr>
          <w:p w:rsidR="00DC1A47" w:rsidRPr="002A1BF2" w:rsidRDefault="00DC1A47" w:rsidP="002A1BF2">
            <w:pPr>
              <w:jc w:val="both"/>
              <w:rPr>
                <w:rFonts w:ascii="Times New Roman" w:hAnsi="Times New Roman" w:cs="Times New Roman"/>
                <w:sz w:val="24"/>
                <w:szCs w:val="24"/>
                <w:shd w:val="clear" w:color="auto" w:fill="FFFFFF"/>
                <w:lang w:val="ro-MD"/>
              </w:rPr>
            </w:pPr>
            <w:r w:rsidRPr="002A1BF2">
              <w:rPr>
                <w:rFonts w:ascii="Times New Roman" w:hAnsi="Times New Roman" w:cs="Times New Roman"/>
                <w:color w:val="000000"/>
                <w:sz w:val="24"/>
                <w:szCs w:val="24"/>
                <w:lang w:val="ro-MD"/>
              </w:rPr>
              <w:t>(11)</w:t>
            </w:r>
            <w:r w:rsidR="00465CCD" w:rsidRPr="002A1BF2">
              <w:rPr>
                <w:rFonts w:ascii="Times New Roman" w:hAnsi="Times New Roman" w:cs="Times New Roman"/>
                <w:sz w:val="24"/>
                <w:szCs w:val="24"/>
                <w:shd w:val="clear" w:color="auto" w:fill="FFFFFF"/>
                <w:lang w:val="ro-MD"/>
              </w:rPr>
              <w:t xml:space="preserve"> </w:t>
            </w:r>
            <w:r w:rsidR="00465CCD" w:rsidRPr="002A1BF2">
              <w:rPr>
                <w:rFonts w:ascii="Times New Roman" w:hAnsi="Times New Roman" w:cs="Times New Roman"/>
                <w:sz w:val="24"/>
                <w:szCs w:val="24"/>
                <w:shd w:val="clear" w:color="auto" w:fill="FFFFFF"/>
                <w:lang w:val="ro-MD"/>
              </w:rPr>
              <w:t>Pentru emiterea metodologiei prevăzute la alin. (10), prin ordinul directorului general, AGEPI creează o comisie, în componența căreia se regăsesc reprezentanți ai AGEPI, după caz, ai Ministerului Culturii, Ministerului Dezvoltării Economice și Digitalizării, Ministerului Finanțelor și ai Consiliului Audiovizualului.</w:t>
            </w:r>
          </w:p>
        </w:tc>
        <w:tc>
          <w:tcPr>
            <w:tcW w:w="3594" w:type="dxa"/>
          </w:tcPr>
          <w:p w:rsidR="00DC1A47" w:rsidRPr="002A1BF2" w:rsidRDefault="00FB4AE0" w:rsidP="002A1BF2">
            <w:pPr>
              <w:shd w:val="clear" w:color="auto" w:fill="FFFFFF"/>
              <w:jc w:val="both"/>
              <w:rPr>
                <w:rFonts w:ascii="Times New Roman" w:eastAsia="Times New Roman" w:hAnsi="Times New Roman" w:cs="Times New Roman"/>
                <w:b/>
                <w:bCs/>
                <w:color w:val="000000"/>
                <w:sz w:val="24"/>
                <w:szCs w:val="24"/>
                <w:lang w:val="ro-MD"/>
              </w:rPr>
            </w:pPr>
            <w:r w:rsidRPr="002A1BF2">
              <w:rPr>
                <w:rFonts w:ascii="Times New Roman" w:hAnsi="Times New Roman" w:cs="Times New Roman"/>
                <w:color w:val="000000"/>
                <w:sz w:val="24"/>
                <w:szCs w:val="24"/>
                <w:lang w:val="ro-MD"/>
              </w:rPr>
              <w:t>(11)</w:t>
            </w:r>
            <w:r w:rsidRPr="002A1BF2">
              <w:rPr>
                <w:rFonts w:ascii="Times New Roman" w:hAnsi="Times New Roman" w:cs="Times New Roman"/>
                <w:sz w:val="24"/>
                <w:szCs w:val="24"/>
                <w:shd w:val="clear" w:color="auto" w:fill="FFFFFF"/>
                <w:lang w:val="ro-MD"/>
              </w:rPr>
              <w:t xml:space="preserve"> Pentru emiterea metodologiei prevăzute la alin. (10), prin ordinul directorului general, AGEPI creează o comisie, în componența căreia se regăsesc reprezentanți ai AGEPI, după caz, ai Ministerului Culturii, Ministerului Dezvoltării Economice și Digitalizării, Ministerului Finanțelor și ai Consiliului Audiovizualului.</w:t>
            </w:r>
          </w:p>
        </w:tc>
      </w:tr>
      <w:tr w:rsidR="00DC1A47" w:rsidRPr="002A1BF2" w:rsidTr="008070E4">
        <w:tc>
          <w:tcPr>
            <w:tcW w:w="757" w:type="dxa"/>
          </w:tcPr>
          <w:p w:rsidR="00DC1A47" w:rsidRPr="002A1BF2" w:rsidRDefault="00DC1A47" w:rsidP="002A1BF2">
            <w:pPr>
              <w:tabs>
                <w:tab w:val="left" w:pos="2977"/>
                <w:tab w:val="left" w:pos="5812"/>
              </w:tabs>
              <w:ind w:left="360"/>
              <w:jc w:val="center"/>
              <w:rPr>
                <w:rFonts w:ascii="Times New Roman" w:hAnsi="Times New Roman" w:cs="Times New Roman"/>
                <w:b/>
                <w:sz w:val="24"/>
                <w:szCs w:val="24"/>
                <w:lang w:val="ro-MD"/>
              </w:rPr>
            </w:pPr>
          </w:p>
        </w:tc>
        <w:tc>
          <w:tcPr>
            <w:tcW w:w="4350" w:type="dxa"/>
          </w:tcPr>
          <w:p w:rsidR="00DC1A47" w:rsidRPr="002A1BF2" w:rsidRDefault="00DC1A47" w:rsidP="002A1BF2">
            <w:pPr>
              <w:shd w:val="clear" w:color="auto" w:fill="FFFFFF"/>
              <w:jc w:val="both"/>
              <w:rPr>
                <w:rFonts w:ascii="Times New Roman" w:hAnsi="Times New Roman" w:cs="Times New Roman"/>
                <w:color w:val="000000"/>
                <w:sz w:val="24"/>
                <w:szCs w:val="24"/>
                <w:shd w:val="clear" w:color="auto" w:fill="FFFFFF"/>
                <w:lang w:val="ro-MD"/>
              </w:rPr>
            </w:pPr>
          </w:p>
        </w:tc>
        <w:tc>
          <w:tcPr>
            <w:tcW w:w="4249" w:type="dxa"/>
          </w:tcPr>
          <w:p w:rsidR="00DC1A47" w:rsidRPr="002A1BF2" w:rsidRDefault="00DC1A47" w:rsidP="002A1BF2">
            <w:pPr>
              <w:jc w:val="both"/>
              <w:rPr>
                <w:rFonts w:ascii="Times New Roman" w:hAnsi="Times New Roman" w:cs="Times New Roman"/>
                <w:color w:val="000000"/>
                <w:sz w:val="24"/>
                <w:szCs w:val="24"/>
                <w:lang w:val="ro-MD"/>
              </w:rPr>
            </w:pPr>
            <w:r w:rsidRPr="002A1BF2">
              <w:rPr>
                <w:rFonts w:ascii="Times New Roman" w:hAnsi="Times New Roman" w:cs="Times New Roman"/>
                <w:color w:val="000000"/>
                <w:sz w:val="24"/>
                <w:szCs w:val="24"/>
                <w:lang w:val="ro-MD"/>
              </w:rPr>
              <w:t>(12)</w:t>
            </w:r>
            <w:r w:rsidR="00465CCD" w:rsidRPr="002A1BF2">
              <w:rPr>
                <w:rFonts w:ascii="Times New Roman" w:hAnsi="Times New Roman" w:cs="Times New Roman"/>
                <w:sz w:val="24"/>
                <w:szCs w:val="24"/>
                <w:shd w:val="clear" w:color="auto" w:fill="FFFFFF"/>
                <w:lang w:val="ro-MD"/>
              </w:rPr>
              <w:t xml:space="preserve"> </w:t>
            </w:r>
            <w:r w:rsidR="00465CCD" w:rsidRPr="002A1BF2">
              <w:rPr>
                <w:rFonts w:ascii="Times New Roman" w:hAnsi="Times New Roman" w:cs="Times New Roman"/>
                <w:sz w:val="24"/>
                <w:szCs w:val="24"/>
                <w:shd w:val="clear" w:color="auto" w:fill="FFFFFF"/>
                <w:lang w:val="ro-MD"/>
              </w:rPr>
              <w:t>Ținând cont de criteriile prevăzute la art. 100 alin. (6), precum și de argumentele și probele aduse de către părți, comisia creată de către AGEPI emite metodologia în termen de 30 de zile de la data depunerii cererii, care se publică  în Monitorul Oficial al Republicii Moldova în termen de 5 zile lucrătoare. Metodologia emisă de către Comisie poate fi contestată în instanța de judecată</w:t>
            </w:r>
            <w:r w:rsidR="00465CCD" w:rsidRPr="002A1BF2">
              <w:rPr>
                <w:rFonts w:ascii="Times New Roman" w:hAnsi="Times New Roman" w:cs="Times New Roman"/>
                <w:sz w:val="24"/>
                <w:szCs w:val="24"/>
                <w:shd w:val="clear" w:color="auto" w:fill="FFFFFF"/>
                <w:lang w:val="ro-MD"/>
              </w:rPr>
              <w:t>.</w:t>
            </w:r>
          </w:p>
        </w:tc>
        <w:tc>
          <w:tcPr>
            <w:tcW w:w="3594" w:type="dxa"/>
          </w:tcPr>
          <w:p w:rsidR="00DC1A47" w:rsidRPr="002A1BF2" w:rsidRDefault="00FB4AE0" w:rsidP="002A1BF2">
            <w:pPr>
              <w:shd w:val="clear" w:color="auto" w:fill="FFFFFF"/>
              <w:jc w:val="both"/>
              <w:rPr>
                <w:rFonts w:ascii="Times New Roman" w:eastAsia="Times New Roman" w:hAnsi="Times New Roman" w:cs="Times New Roman"/>
                <w:b/>
                <w:bCs/>
                <w:color w:val="000000"/>
                <w:sz w:val="24"/>
                <w:szCs w:val="24"/>
                <w:lang w:val="ro-MD"/>
              </w:rPr>
            </w:pPr>
            <w:r w:rsidRPr="002A1BF2">
              <w:rPr>
                <w:rFonts w:ascii="Times New Roman" w:hAnsi="Times New Roman" w:cs="Times New Roman"/>
                <w:color w:val="000000"/>
                <w:sz w:val="24"/>
                <w:szCs w:val="24"/>
                <w:lang w:val="ro-MD"/>
              </w:rPr>
              <w:t>(12)</w:t>
            </w:r>
            <w:r w:rsidRPr="002A1BF2">
              <w:rPr>
                <w:rFonts w:ascii="Times New Roman" w:hAnsi="Times New Roman" w:cs="Times New Roman"/>
                <w:sz w:val="24"/>
                <w:szCs w:val="24"/>
                <w:shd w:val="clear" w:color="auto" w:fill="FFFFFF"/>
                <w:lang w:val="ro-MD"/>
              </w:rPr>
              <w:t xml:space="preserve"> Ținând cont de criteriile prevăzute la art. 100 alin. (6), precum și de argumentele și probele aduse de către părți, comisia creată de către AGEPI emite metodologia în termen de 30 de zile de la data depunerii cererii, care se publică  în Monitorul Oficial al Republicii Moldova în termen de 5 zile lucrătoare. Metodologia emisă de către Comisie poate fi contestată în instanța de judecată.</w:t>
            </w:r>
          </w:p>
        </w:tc>
      </w:tr>
      <w:tr w:rsidR="00DC1A47" w:rsidRPr="002A1BF2" w:rsidTr="008070E4">
        <w:tc>
          <w:tcPr>
            <w:tcW w:w="757" w:type="dxa"/>
          </w:tcPr>
          <w:p w:rsidR="00DC1A47" w:rsidRPr="002A1BF2" w:rsidRDefault="00DC1A47" w:rsidP="002A1BF2">
            <w:pPr>
              <w:tabs>
                <w:tab w:val="left" w:pos="2977"/>
                <w:tab w:val="left" w:pos="5812"/>
              </w:tabs>
              <w:ind w:left="360"/>
              <w:jc w:val="center"/>
              <w:rPr>
                <w:rFonts w:ascii="Times New Roman" w:hAnsi="Times New Roman" w:cs="Times New Roman"/>
                <w:b/>
                <w:sz w:val="24"/>
                <w:szCs w:val="24"/>
                <w:lang w:val="ro-MD"/>
              </w:rPr>
            </w:pPr>
            <w:r w:rsidRPr="002A1BF2">
              <w:rPr>
                <w:rFonts w:ascii="Times New Roman" w:hAnsi="Times New Roman" w:cs="Times New Roman"/>
                <w:b/>
                <w:sz w:val="24"/>
                <w:szCs w:val="24"/>
                <w:lang w:val="ro-MD"/>
              </w:rPr>
              <w:t>3.</w:t>
            </w:r>
          </w:p>
        </w:tc>
        <w:tc>
          <w:tcPr>
            <w:tcW w:w="4350" w:type="dxa"/>
          </w:tcPr>
          <w:p w:rsidR="00DC1A47" w:rsidRPr="002A1BF2" w:rsidRDefault="00DC1A47" w:rsidP="002A1BF2">
            <w:pPr>
              <w:shd w:val="clear" w:color="auto" w:fill="FFFFFF"/>
              <w:jc w:val="both"/>
              <w:rPr>
                <w:rFonts w:ascii="Times New Roman" w:hAnsi="Times New Roman" w:cs="Times New Roman"/>
                <w:color w:val="000000"/>
                <w:sz w:val="24"/>
                <w:szCs w:val="24"/>
                <w:shd w:val="clear" w:color="auto" w:fill="FFFFFF"/>
                <w:lang w:val="ro-MD"/>
              </w:rPr>
            </w:pPr>
            <w:r w:rsidRPr="002A1BF2">
              <w:rPr>
                <w:rStyle w:val="Strong"/>
                <w:rFonts w:ascii="Times New Roman" w:hAnsi="Times New Roman" w:cs="Times New Roman"/>
                <w:color w:val="000000"/>
                <w:sz w:val="24"/>
                <w:szCs w:val="24"/>
                <w:shd w:val="clear" w:color="auto" w:fill="FFFFFF"/>
                <w:lang w:val="ro-MD"/>
              </w:rPr>
              <w:t>Articolul 102.</w:t>
            </w:r>
            <w:r w:rsidRPr="002A1BF2">
              <w:rPr>
                <w:rFonts w:ascii="Times New Roman" w:hAnsi="Times New Roman" w:cs="Times New Roman"/>
                <w:color w:val="000000"/>
                <w:sz w:val="24"/>
                <w:szCs w:val="24"/>
                <w:shd w:val="clear" w:color="auto" w:fill="FFFFFF"/>
                <w:lang w:val="ro-MD"/>
              </w:rPr>
              <w:t> Statutul metodologiilor</w:t>
            </w:r>
          </w:p>
        </w:tc>
        <w:tc>
          <w:tcPr>
            <w:tcW w:w="4249" w:type="dxa"/>
          </w:tcPr>
          <w:p w:rsidR="009D2670" w:rsidRPr="009D2670" w:rsidRDefault="009D2670" w:rsidP="002A1BF2">
            <w:pPr>
              <w:jc w:val="both"/>
              <w:rPr>
                <w:rFonts w:ascii="Times New Roman" w:hAnsi="Times New Roman" w:cs="Times New Roman"/>
                <w:i/>
                <w:color w:val="000000"/>
                <w:sz w:val="24"/>
                <w:szCs w:val="24"/>
                <w:lang w:val="ro-MD"/>
              </w:rPr>
            </w:pPr>
            <w:r w:rsidRPr="009D2670">
              <w:rPr>
                <w:rFonts w:ascii="Times New Roman" w:hAnsi="Times New Roman" w:cs="Times New Roman"/>
                <w:i/>
                <w:sz w:val="24"/>
                <w:szCs w:val="24"/>
                <w:lang w:val="ro-MD"/>
              </w:rPr>
              <w:t>Articolul 102 se completează cu alineatul (2</w:t>
            </w:r>
            <w:r w:rsidRPr="009D2670">
              <w:rPr>
                <w:rFonts w:ascii="Times New Roman" w:hAnsi="Times New Roman" w:cs="Times New Roman"/>
                <w:i/>
                <w:sz w:val="24"/>
                <w:szCs w:val="24"/>
                <w:vertAlign w:val="superscript"/>
                <w:lang w:val="ro-MD"/>
              </w:rPr>
              <w:t>1</w:t>
            </w:r>
            <w:r w:rsidRPr="009D2670">
              <w:rPr>
                <w:rFonts w:ascii="Times New Roman" w:hAnsi="Times New Roman" w:cs="Times New Roman"/>
                <w:i/>
                <w:sz w:val="24"/>
                <w:szCs w:val="24"/>
                <w:lang w:val="ro-MD"/>
              </w:rPr>
              <w:t>), cu următorul cuprins:</w:t>
            </w:r>
          </w:p>
          <w:p w:rsidR="00DC1A47" w:rsidRPr="002A1BF2" w:rsidRDefault="00694A51" w:rsidP="002A1BF2">
            <w:pPr>
              <w:jc w:val="both"/>
              <w:rPr>
                <w:rFonts w:ascii="Times New Roman" w:hAnsi="Times New Roman" w:cs="Times New Roman"/>
                <w:color w:val="000000"/>
                <w:sz w:val="24"/>
                <w:szCs w:val="24"/>
                <w:lang w:val="ro-MD"/>
              </w:rPr>
            </w:pPr>
            <w:r w:rsidRPr="002A1BF2">
              <w:rPr>
                <w:rFonts w:ascii="Times New Roman" w:hAnsi="Times New Roman" w:cs="Times New Roman"/>
                <w:color w:val="000000"/>
                <w:sz w:val="24"/>
                <w:szCs w:val="24"/>
                <w:lang w:val="ro-MD"/>
              </w:rPr>
              <w:t>(2</w:t>
            </w:r>
            <w:r w:rsidRPr="002A1BF2">
              <w:rPr>
                <w:rFonts w:ascii="Times New Roman" w:hAnsi="Times New Roman" w:cs="Times New Roman"/>
                <w:color w:val="000000"/>
                <w:sz w:val="24"/>
                <w:szCs w:val="24"/>
                <w:vertAlign w:val="superscript"/>
                <w:lang w:val="ro-MD"/>
              </w:rPr>
              <w:t>1</w:t>
            </w:r>
            <w:r w:rsidRPr="002A1BF2">
              <w:rPr>
                <w:rFonts w:ascii="Times New Roman" w:hAnsi="Times New Roman" w:cs="Times New Roman"/>
                <w:color w:val="000000"/>
                <w:sz w:val="24"/>
                <w:szCs w:val="24"/>
                <w:lang w:val="ro-MD"/>
              </w:rPr>
              <w:t>)</w:t>
            </w:r>
            <w:r w:rsidR="00FB4AE0" w:rsidRPr="002A1BF2">
              <w:rPr>
                <w:rFonts w:ascii="Times New Roman" w:hAnsi="Times New Roman" w:cs="Times New Roman"/>
                <w:sz w:val="24"/>
                <w:szCs w:val="24"/>
                <w:shd w:val="clear" w:color="auto" w:fill="FFFFFF"/>
                <w:lang w:val="ro-MD"/>
              </w:rPr>
              <w:t xml:space="preserve"> </w:t>
            </w:r>
            <w:r w:rsidR="00FB4AE0" w:rsidRPr="002A1BF2">
              <w:rPr>
                <w:rFonts w:ascii="Times New Roman" w:hAnsi="Times New Roman" w:cs="Times New Roman"/>
                <w:sz w:val="24"/>
                <w:szCs w:val="24"/>
                <w:shd w:val="clear" w:color="auto" w:fill="FFFFFF"/>
                <w:lang w:val="ro-MD"/>
              </w:rPr>
              <w:t>Metodologiile publicate în Monitorul Oficial al Republicii Moldova se aplică de la data avizării organizațiilor de gestiune colectivă potrivit dispozițiilor prezentei legi, indiferent de durata negocierii metodologiilor și data publicării acestora.</w:t>
            </w:r>
          </w:p>
        </w:tc>
        <w:tc>
          <w:tcPr>
            <w:tcW w:w="3594" w:type="dxa"/>
          </w:tcPr>
          <w:p w:rsidR="00DC1A47" w:rsidRPr="002A1BF2" w:rsidRDefault="00FB4AE0" w:rsidP="002A1BF2">
            <w:pPr>
              <w:shd w:val="clear" w:color="auto" w:fill="FFFFFF"/>
              <w:jc w:val="both"/>
              <w:rPr>
                <w:rFonts w:ascii="Times New Roman" w:eastAsia="Times New Roman" w:hAnsi="Times New Roman" w:cs="Times New Roman"/>
                <w:b/>
                <w:bCs/>
                <w:color w:val="000000"/>
                <w:sz w:val="24"/>
                <w:szCs w:val="24"/>
                <w:lang w:val="ro-MD"/>
              </w:rPr>
            </w:pPr>
            <w:r w:rsidRPr="002A1BF2">
              <w:rPr>
                <w:rFonts w:ascii="Times New Roman" w:hAnsi="Times New Roman" w:cs="Times New Roman"/>
                <w:color w:val="000000"/>
                <w:sz w:val="24"/>
                <w:szCs w:val="24"/>
                <w:lang w:val="ro-MD"/>
              </w:rPr>
              <w:t>(2</w:t>
            </w:r>
            <w:r w:rsidRPr="002A1BF2">
              <w:rPr>
                <w:rFonts w:ascii="Times New Roman" w:hAnsi="Times New Roman" w:cs="Times New Roman"/>
                <w:color w:val="000000"/>
                <w:sz w:val="24"/>
                <w:szCs w:val="24"/>
                <w:vertAlign w:val="superscript"/>
                <w:lang w:val="ro-MD"/>
              </w:rPr>
              <w:t>1</w:t>
            </w:r>
            <w:r w:rsidRPr="002A1BF2">
              <w:rPr>
                <w:rFonts w:ascii="Times New Roman" w:hAnsi="Times New Roman" w:cs="Times New Roman"/>
                <w:color w:val="000000"/>
                <w:sz w:val="24"/>
                <w:szCs w:val="24"/>
                <w:lang w:val="ro-MD"/>
              </w:rPr>
              <w:t>)</w:t>
            </w:r>
            <w:r w:rsidRPr="002A1BF2">
              <w:rPr>
                <w:rFonts w:ascii="Times New Roman" w:hAnsi="Times New Roman" w:cs="Times New Roman"/>
                <w:sz w:val="24"/>
                <w:szCs w:val="24"/>
                <w:shd w:val="clear" w:color="auto" w:fill="FFFFFF"/>
                <w:lang w:val="ro-MD"/>
              </w:rPr>
              <w:t xml:space="preserve"> Metodologiile publicate în Monitorul Oficial al Republicii Moldova se aplică de la data avizării organizațiilor de gestiune colectivă potrivit dispozițiilor prezentei legi, indiferent de durata negocierii metodologiilor și data publicării acestora.</w:t>
            </w:r>
          </w:p>
        </w:tc>
      </w:tr>
      <w:tr w:rsidR="008070E4" w:rsidRPr="002A1BF2" w:rsidTr="008070E4">
        <w:tc>
          <w:tcPr>
            <w:tcW w:w="757" w:type="dxa"/>
          </w:tcPr>
          <w:p w:rsidR="008070E4" w:rsidRPr="002A1BF2" w:rsidRDefault="008070E4" w:rsidP="002A1BF2">
            <w:pPr>
              <w:tabs>
                <w:tab w:val="left" w:pos="2977"/>
                <w:tab w:val="left" w:pos="5812"/>
              </w:tabs>
              <w:ind w:left="360"/>
              <w:jc w:val="center"/>
              <w:rPr>
                <w:rFonts w:ascii="Times New Roman" w:hAnsi="Times New Roman" w:cs="Times New Roman"/>
                <w:b/>
                <w:sz w:val="24"/>
                <w:szCs w:val="24"/>
                <w:lang w:val="ro-MD"/>
              </w:rPr>
            </w:pPr>
            <w:r w:rsidRPr="002A1BF2">
              <w:rPr>
                <w:rFonts w:ascii="Times New Roman" w:hAnsi="Times New Roman" w:cs="Times New Roman"/>
                <w:b/>
                <w:sz w:val="24"/>
                <w:szCs w:val="24"/>
                <w:lang w:val="ro-MD"/>
              </w:rPr>
              <w:t>4.</w:t>
            </w:r>
          </w:p>
        </w:tc>
        <w:tc>
          <w:tcPr>
            <w:tcW w:w="12193" w:type="dxa"/>
            <w:gridSpan w:val="3"/>
          </w:tcPr>
          <w:p w:rsidR="008070E4" w:rsidRPr="002A1BF2" w:rsidRDefault="008070E4" w:rsidP="002A1BF2">
            <w:pPr>
              <w:pStyle w:val="NormalWeb"/>
              <w:shd w:val="clear" w:color="auto" w:fill="FFFFFF"/>
              <w:spacing w:before="0" w:beforeAutospacing="0" w:after="0" w:afterAutospacing="0"/>
              <w:jc w:val="both"/>
              <w:rPr>
                <w:color w:val="333333"/>
                <w:lang w:val="ro-MD"/>
              </w:rPr>
            </w:pPr>
            <w:r w:rsidRPr="002A1BF2">
              <w:rPr>
                <w:rStyle w:val="Strong"/>
                <w:color w:val="000000"/>
                <w:lang w:val="ro-MD"/>
              </w:rPr>
              <w:t>Articolul 103.</w:t>
            </w:r>
            <w:r w:rsidRPr="002A1BF2">
              <w:rPr>
                <w:color w:val="000000"/>
                <w:lang w:val="ro-MD"/>
              </w:rPr>
              <w:t> Desemnarea colectorului în cazul drepturilor gestionate colectiv obligatoriu sau prin gestiune colectivă extinsă</w:t>
            </w:r>
          </w:p>
        </w:tc>
      </w:tr>
      <w:tr w:rsidR="008070E4" w:rsidRPr="002A1BF2" w:rsidTr="008070E4">
        <w:tc>
          <w:tcPr>
            <w:tcW w:w="757" w:type="dxa"/>
          </w:tcPr>
          <w:p w:rsidR="008070E4" w:rsidRPr="002A1BF2" w:rsidRDefault="008070E4" w:rsidP="002A1BF2">
            <w:pPr>
              <w:tabs>
                <w:tab w:val="left" w:pos="2977"/>
                <w:tab w:val="left" w:pos="5812"/>
              </w:tabs>
              <w:ind w:left="360"/>
              <w:jc w:val="center"/>
              <w:rPr>
                <w:rFonts w:ascii="Times New Roman" w:hAnsi="Times New Roman" w:cs="Times New Roman"/>
                <w:b/>
                <w:sz w:val="24"/>
                <w:szCs w:val="24"/>
                <w:lang w:val="ro-MD"/>
              </w:rPr>
            </w:pPr>
          </w:p>
        </w:tc>
        <w:tc>
          <w:tcPr>
            <w:tcW w:w="4350" w:type="dxa"/>
          </w:tcPr>
          <w:p w:rsidR="008070E4" w:rsidRPr="002A1BF2" w:rsidRDefault="00B62143" w:rsidP="002A1BF2">
            <w:pPr>
              <w:pStyle w:val="NormalWeb"/>
              <w:shd w:val="clear" w:color="auto" w:fill="FFFFFF"/>
              <w:spacing w:before="0" w:beforeAutospacing="0" w:after="0" w:afterAutospacing="0"/>
              <w:jc w:val="both"/>
              <w:rPr>
                <w:color w:val="000000"/>
                <w:shd w:val="clear" w:color="auto" w:fill="FFFFFF"/>
                <w:lang w:val="ro-MD"/>
              </w:rPr>
            </w:pPr>
            <w:r w:rsidRPr="002A1BF2">
              <w:rPr>
                <w:color w:val="000000"/>
                <w:shd w:val="clear" w:color="auto" w:fill="FFFFFF"/>
                <w:lang w:val="ro-MD"/>
              </w:rPr>
              <w:t xml:space="preserve">(5) În cazul în care organizațiile de gestiune colectivă nu depun propunerea menționată la alin. (2), AGEPI decide asupra </w:t>
            </w:r>
            <w:r w:rsidRPr="002A1BF2">
              <w:rPr>
                <w:color w:val="000000"/>
                <w:shd w:val="clear" w:color="auto" w:fill="FFFFFF"/>
                <w:lang w:val="ro-MD"/>
              </w:rPr>
              <w:lastRenderedPageBreak/>
              <w:t>desemnării colectorului dintre organizațiile de gestiune colectivă avizate, luând în considerare care dintre organizațiile de gestiune colectivă avizate îndeplinește cumulativ următoarele condiții:</w:t>
            </w:r>
          </w:p>
          <w:p w:rsidR="00B62143" w:rsidRPr="002A1BF2" w:rsidRDefault="00B62143" w:rsidP="002A1BF2">
            <w:pPr>
              <w:pStyle w:val="NormalWeb"/>
              <w:shd w:val="clear" w:color="auto" w:fill="FFFFFF"/>
              <w:spacing w:before="0" w:beforeAutospacing="0" w:after="0" w:afterAutospacing="0"/>
              <w:jc w:val="both"/>
              <w:rPr>
                <w:rStyle w:val="Strong"/>
                <w:color w:val="000000"/>
                <w:lang w:val="ro-MD"/>
              </w:rPr>
            </w:pPr>
            <w:r w:rsidRPr="002A1BF2">
              <w:rPr>
                <w:color w:val="000000"/>
                <w:shd w:val="clear" w:color="auto" w:fill="FFFFFF"/>
                <w:lang w:val="ro-MD"/>
              </w:rPr>
              <w:t>c) dispune de resurse umane și materiale necesare pentru asigurarea colectării remunerațiilor, cu un nivel minim de cheltuieli.</w:t>
            </w:r>
          </w:p>
        </w:tc>
        <w:tc>
          <w:tcPr>
            <w:tcW w:w="4249" w:type="dxa"/>
          </w:tcPr>
          <w:p w:rsidR="00203666" w:rsidRPr="00203666" w:rsidRDefault="00203666" w:rsidP="002A1BF2">
            <w:pPr>
              <w:spacing w:after="120"/>
              <w:jc w:val="both"/>
              <w:rPr>
                <w:rFonts w:ascii="Times New Roman" w:hAnsi="Times New Roman" w:cs="Times New Roman"/>
                <w:sz w:val="24"/>
                <w:szCs w:val="24"/>
                <w:shd w:val="clear" w:color="auto" w:fill="FFFFFF"/>
                <w:lang w:val="ro-MD"/>
              </w:rPr>
            </w:pPr>
            <w:r w:rsidRPr="00203666">
              <w:rPr>
                <w:rFonts w:ascii="Times New Roman" w:hAnsi="Times New Roman" w:cs="Times New Roman"/>
                <w:sz w:val="24"/>
                <w:szCs w:val="24"/>
                <w:shd w:val="clear" w:color="auto" w:fill="FFFFFF"/>
                <w:lang w:val="ro-MD"/>
              </w:rPr>
              <w:lastRenderedPageBreak/>
              <w:t>la alineatul (5), litera c),  cuvintele „cu un nivel minim de cheltuieli” se substituie cu cuvintele „precum și deține acorduri de reprezentare reciprocă cu organizații de gestiune colectivă similare din străinătate.</w:t>
            </w:r>
          </w:p>
          <w:p w:rsidR="008070E4" w:rsidRPr="002A1BF2" w:rsidRDefault="008070E4" w:rsidP="002A1BF2">
            <w:pPr>
              <w:jc w:val="both"/>
              <w:rPr>
                <w:rFonts w:ascii="Times New Roman" w:hAnsi="Times New Roman" w:cs="Times New Roman"/>
                <w:color w:val="000000"/>
                <w:sz w:val="24"/>
                <w:szCs w:val="24"/>
                <w:lang w:val="ro-MD"/>
              </w:rPr>
            </w:pPr>
          </w:p>
        </w:tc>
        <w:tc>
          <w:tcPr>
            <w:tcW w:w="3594" w:type="dxa"/>
          </w:tcPr>
          <w:p w:rsidR="009D2670" w:rsidRPr="009D2670" w:rsidRDefault="009D2670" w:rsidP="009D2670">
            <w:pPr>
              <w:pStyle w:val="NormalWeb"/>
              <w:shd w:val="clear" w:color="auto" w:fill="FFFFFF"/>
              <w:spacing w:before="0" w:beforeAutospacing="0" w:after="0" w:afterAutospacing="0"/>
              <w:jc w:val="both"/>
              <w:rPr>
                <w:color w:val="000000"/>
                <w:shd w:val="clear" w:color="auto" w:fill="FFFFFF"/>
                <w:lang w:val="ro-MD"/>
              </w:rPr>
            </w:pPr>
            <w:r w:rsidRPr="002A1BF2">
              <w:rPr>
                <w:color w:val="000000"/>
                <w:shd w:val="clear" w:color="auto" w:fill="FFFFFF"/>
                <w:lang w:val="ro-MD"/>
              </w:rPr>
              <w:t>(</w:t>
            </w:r>
            <w:r w:rsidRPr="009D2670">
              <w:rPr>
                <w:color w:val="000000"/>
                <w:shd w:val="clear" w:color="auto" w:fill="FFFFFF"/>
                <w:lang w:val="ro-MD"/>
              </w:rPr>
              <w:t>5) În cazul în care organizațiile de gestiune colectivă nu depun propunerea menționată la alin. (2), AGEPI decide asupra desemnării colectorului dintre organizațiile de gestiune colectivă avizate, luând în considerare care dintre organizațiile de gestiune colectivă avizate îndeplinește cumulativ următoarele condiții:</w:t>
            </w:r>
          </w:p>
          <w:p w:rsidR="008070E4" w:rsidRPr="002A1BF2" w:rsidRDefault="00203666" w:rsidP="002A1BF2">
            <w:pPr>
              <w:shd w:val="clear" w:color="auto" w:fill="FFFFFF"/>
              <w:jc w:val="both"/>
              <w:rPr>
                <w:rFonts w:ascii="Times New Roman" w:eastAsia="Times New Roman" w:hAnsi="Times New Roman" w:cs="Times New Roman"/>
                <w:b/>
                <w:bCs/>
                <w:color w:val="000000"/>
                <w:sz w:val="24"/>
                <w:szCs w:val="24"/>
                <w:lang w:val="ro-MD"/>
              </w:rPr>
            </w:pPr>
            <w:r w:rsidRPr="002A1BF2">
              <w:rPr>
                <w:rFonts w:ascii="Times New Roman" w:hAnsi="Times New Roman" w:cs="Times New Roman"/>
                <w:color w:val="000000"/>
                <w:sz w:val="24"/>
                <w:szCs w:val="24"/>
                <w:shd w:val="clear" w:color="auto" w:fill="FFFFFF"/>
                <w:lang w:val="ro-MD"/>
              </w:rPr>
              <w:t xml:space="preserve">c) </w:t>
            </w:r>
            <w:r w:rsidRPr="002A1BF2">
              <w:rPr>
                <w:rFonts w:ascii="Times New Roman" w:hAnsi="Times New Roman" w:cs="Times New Roman"/>
                <w:color w:val="000000"/>
                <w:sz w:val="24"/>
                <w:szCs w:val="24"/>
                <w:shd w:val="clear" w:color="auto" w:fill="FFFFFF"/>
                <w:lang w:val="ro-MD"/>
              </w:rPr>
              <w:t xml:space="preserve">dispune de resurse umane și materiale necesare pentru asigurarea colectării remunerațiilor, </w:t>
            </w:r>
            <w:r w:rsidRPr="002A1BF2">
              <w:rPr>
                <w:rFonts w:ascii="Times New Roman" w:hAnsi="Times New Roman" w:cs="Times New Roman"/>
                <w:b/>
                <w:sz w:val="24"/>
                <w:szCs w:val="24"/>
                <w:shd w:val="clear" w:color="auto" w:fill="FFFFFF"/>
                <w:lang w:val="ro-MD"/>
              </w:rPr>
              <w:t>precum și deține acorduri de reprezentare reciprocă cu organizații de gestiune colectivă similare din străinătate</w:t>
            </w:r>
            <w:r w:rsidRPr="002A1BF2">
              <w:rPr>
                <w:rFonts w:ascii="Times New Roman" w:hAnsi="Times New Roman" w:cs="Times New Roman"/>
                <w:b/>
                <w:color w:val="000000"/>
                <w:sz w:val="24"/>
                <w:szCs w:val="24"/>
                <w:shd w:val="clear" w:color="auto" w:fill="FFFFFF"/>
                <w:lang w:val="ro-MD"/>
              </w:rPr>
              <w:t>.</w:t>
            </w:r>
          </w:p>
        </w:tc>
      </w:tr>
      <w:tr w:rsidR="008070E4" w:rsidRPr="002A1BF2" w:rsidTr="008070E4">
        <w:tc>
          <w:tcPr>
            <w:tcW w:w="757" w:type="dxa"/>
          </w:tcPr>
          <w:p w:rsidR="008070E4" w:rsidRPr="002A1BF2" w:rsidRDefault="008070E4" w:rsidP="002A1BF2">
            <w:pPr>
              <w:tabs>
                <w:tab w:val="left" w:pos="2977"/>
                <w:tab w:val="left" w:pos="5812"/>
              </w:tabs>
              <w:ind w:left="360"/>
              <w:jc w:val="center"/>
              <w:rPr>
                <w:rFonts w:ascii="Times New Roman" w:hAnsi="Times New Roman" w:cs="Times New Roman"/>
                <w:b/>
                <w:sz w:val="24"/>
                <w:szCs w:val="24"/>
                <w:lang w:val="ro-MD"/>
              </w:rPr>
            </w:pPr>
          </w:p>
        </w:tc>
        <w:tc>
          <w:tcPr>
            <w:tcW w:w="4350" w:type="dxa"/>
          </w:tcPr>
          <w:p w:rsidR="00B62143" w:rsidRPr="002A1BF2" w:rsidRDefault="00B62143" w:rsidP="002A1BF2">
            <w:pPr>
              <w:pStyle w:val="NormalWeb"/>
              <w:shd w:val="clear" w:color="auto" w:fill="FFFFFF"/>
              <w:spacing w:before="0" w:beforeAutospacing="0" w:after="0" w:afterAutospacing="0"/>
              <w:jc w:val="both"/>
              <w:rPr>
                <w:color w:val="333333"/>
                <w:lang w:val="ro-MD"/>
              </w:rPr>
            </w:pPr>
            <w:r w:rsidRPr="002A1BF2">
              <w:rPr>
                <w:color w:val="000000"/>
                <w:lang w:val="ro-MD"/>
              </w:rPr>
              <w:t>(8) Colectorul se desemnează pentru o perioadă de 3 ani. Condițiile și criteriile prevăzute în prezentul articol trebuie îndeplinite și respectate pe întreaga durată a desfășurării activității de colectare.</w:t>
            </w:r>
          </w:p>
          <w:p w:rsidR="008070E4" w:rsidRPr="002A1BF2" w:rsidRDefault="00B62143" w:rsidP="002A1BF2">
            <w:pPr>
              <w:pStyle w:val="NormalWeb"/>
              <w:shd w:val="clear" w:color="auto" w:fill="FFFFFF"/>
              <w:spacing w:before="0" w:beforeAutospacing="0" w:after="0" w:afterAutospacing="0"/>
              <w:jc w:val="both"/>
              <w:rPr>
                <w:rStyle w:val="Strong"/>
                <w:b w:val="0"/>
                <w:bCs w:val="0"/>
                <w:color w:val="333333"/>
                <w:lang w:val="ro-MD"/>
              </w:rPr>
            </w:pPr>
            <w:r w:rsidRPr="002A1BF2">
              <w:rPr>
                <w:color w:val="000000"/>
                <w:lang w:val="ro-MD"/>
              </w:rPr>
              <w:t xml:space="preserve">(9) După expirarea termenului prevăzut la alin. (8), organizația de gestiune colectivă poate fi din nou desemnată colector în condițiile art. 103, după verificarea îndeplinirii și respectării condițiilor și a criteriilor prevăzute în prezentul </w:t>
            </w:r>
            <w:proofErr w:type="spellStart"/>
            <w:r w:rsidRPr="002A1BF2">
              <w:rPr>
                <w:color w:val="000000"/>
                <w:lang w:val="ro-MD"/>
              </w:rPr>
              <w:t>articol.</w:t>
            </w:r>
            <w:r w:rsidR="00C90D98" w:rsidRPr="002A1BF2">
              <w:rPr>
                <w:color w:val="333333"/>
                <w:lang w:val="ro-MD"/>
              </w:rPr>
              <w:t>a</w:t>
            </w:r>
            <w:proofErr w:type="spellEnd"/>
          </w:p>
        </w:tc>
        <w:tc>
          <w:tcPr>
            <w:tcW w:w="4249" w:type="dxa"/>
          </w:tcPr>
          <w:p w:rsidR="008070E4" w:rsidRPr="002A1BF2" w:rsidRDefault="00203666" w:rsidP="002A1BF2">
            <w:pPr>
              <w:jc w:val="both"/>
              <w:rPr>
                <w:rFonts w:ascii="Times New Roman" w:hAnsi="Times New Roman" w:cs="Times New Roman"/>
                <w:color w:val="000000"/>
                <w:sz w:val="24"/>
                <w:szCs w:val="24"/>
                <w:lang w:val="ro-MD"/>
              </w:rPr>
            </w:pPr>
            <w:proofErr w:type="spellStart"/>
            <w:proofErr w:type="gramStart"/>
            <w:r w:rsidRPr="002A1BF2">
              <w:rPr>
                <w:rFonts w:ascii="Times New Roman" w:hAnsi="Times New Roman" w:cs="Times New Roman"/>
                <w:sz w:val="24"/>
                <w:szCs w:val="24"/>
                <w:shd w:val="clear" w:color="auto" w:fill="FFFFFF"/>
              </w:rPr>
              <w:t>alineatele</w:t>
            </w:r>
            <w:proofErr w:type="spellEnd"/>
            <w:proofErr w:type="gramEnd"/>
            <w:r w:rsidRPr="002A1BF2">
              <w:rPr>
                <w:rFonts w:ascii="Times New Roman" w:hAnsi="Times New Roman" w:cs="Times New Roman"/>
                <w:sz w:val="24"/>
                <w:szCs w:val="24"/>
                <w:shd w:val="clear" w:color="auto" w:fill="FFFFFF"/>
              </w:rPr>
              <w:t xml:space="preserve"> (8) </w:t>
            </w:r>
            <w:r w:rsidRPr="002A1BF2">
              <w:rPr>
                <w:rFonts w:ascii="Times New Roman" w:hAnsi="Times New Roman" w:cs="Times New Roman"/>
                <w:sz w:val="24"/>
                <w:szCs w:val="24"/>
                <w:shd w:val="clear" w:color="auto" w:fill="FFFFFF"/>
                <w:lang w:val="ro-MD"/>
              </w:rPr>
              <w:t>și (9) se abrogă</w:t>
            </w:r>
            <w:r w:rsidRPr="002A1BF2">
              <w:rPr>
                <w:rFonts w:ascii="Times New Roman" w:hAnsi="Times New Roman" w:cs="Times New Roman"/>
                <w:sz w:val="24"/>
                <w:szCs w:val="24"/>
                <w:shd w:val="clear" w:color="auto" w:fill="FFFFFF"/>
                <w:lang w:val="ro-MD"/>
              </w:rPr>
              <w:t>.</w:t>
            </w:r>
          </w:p>
        </w:tc>
        <w:tc>
          <w:tcPr>
            <w:tcW w:w="3594" w:type="dxa"/>
          </w:tcPr>
          <w:p w:rsidR="008070E4" w:rsidRPr="002A1BF2" w:rsidRDefault="00203666" w:rsidP="002A1BF2">
            <w:pPr>
              <w:shd w:val="clear" w:color="auto" w:fill="FFFFFF"/>
              <w:jc w:val="center"/>
              <w:rPr>
                <w:rFonts w:ascii="Times New Roman" w:eastAsia="Times New Roman" w:hAnsi="Times New Roman" w:cs="Times New Roman"/>
                <w:b/>
                <w:bCs/>
                <w:color w:val="000000"/>
                <w:sz w:val="24"/>
                <w:szCs w:val="24"/>
                <w:lang w:val="ro-MD"/>
              </w:rPr>
            </w:pPr>
            <w:r w:rsidRPr="002A1BF2">
              <w:rPr>
                <w:rFonts w:ascii="Times New Roman" w:eastAsia="Times New Roman" w:hAnsi="Times New Roman" w:cs="Times New Roman"/>
                <w:b/>
                <w:bCs/>
                <w:color w:val="000000"/>
                <w:sz w:val="24"/>
                <w:szCs w:val="24"/>
                <w:lang w:val="ro-MD"/>
              </w:rPr>
              <w:t>-</w:t>
            </w:r>
          </w:p>
        </w:tc>
      </w:tr>
      <w:tr w:rsidR="008070E4" w:rsidRPr="002A1BF2" w:rsidTr="008070E4">
        <w:tc>
          <w:tcPr>
            <w:tcW w:w="757" w:type="dxa"/>
          </w:tcPr>
          <w:p w:rsidR="008070E4" w:rsidRPr="002A1BF2" w:rsidRDefault="008070E4" w:rsidP="002A1BF2">
            <w:pPr>
              <w:tabs>
                <w:tab w:val="left" w:pos="2977"/>
                <w:tab w:val="left" w:pos="5812"/>
              </w:tabs>
              <w:ind w:left="360"/>
              <w:jc w:val="center"/>
              <w:rPr>
                <w:rFonts w:ascii="Times New Roman" w:hAnsi="Times New Roman" w:cs="Times New Roman"/>
                <w:b/>
                <w:sz w:val="24"/>
                <w:szCs w:val="24"/>
                <w:lang w:val="ro-MD"/>
              </w:rPr>
            </w:pPr>
          </w:p>
        </w:tc>
        <w:tc>
          <w:tcPr>
            <w:tcW w:w="4350" w:type="dxa"/>
          </w:tcPr>
          <w:p w:rsidR="008070E4" w:rsidRPr="002A1BF2" w:rsidRDefault="00225688" w:rsidP="002A1BF2">
            <w:pPr>
              <w:pStyle w:val="NormalWeb"/>
              <w:shd w:val="clear" w:color="auto" w:fill="FFFFFF"/>
              <w:spacing w:before="0" w:beforeAutospacing="0" w:after="0" w:afterAutospacing="0"/>
              <w:jc w:val="both"/>
              <w:rPr>
                <w:rStyle w:val="Strong"/>
                <w:color w:val="000000"/>
                <w:lang w:val="ro-MD"/>
              </w:rPr>
            </w:pPr>
            <w:r w:rsidRPr="002A1BF2">
              <w:rPr>
                <w:color w:val="000000"/>
                <w:shd w:val="clear" w:color="auto" w:fill="FFFFFF"/>
                <w:lang w:val="ro-MD"/>
              </w:rPr>
              <w:t>(</w:t>
            </w:r>
            <w:r w:rsidR="00B62143" w:rsidRPr="002A1BF2">
              <w:rPr>
                <w:color w:val="000000"/>
                <w:shd w:val="clear" w:color="auto" w:fill="FFFFFF"/>
                <w:lang w:val="ro-MD"/>
              </w:rPr>
              <w:t>13) AGEPI desemnează din oficiu colectorul unic în cazul în care există doar o singură organizație de gestiune colectivă pe un drept prevăzut la art. 70 alin. (2) și/sau art. 78 alin. (3).</w:t>
            </w:r>
          </w:p>
        </w:tc>
        <w:tc>
          <w:tcPr>
            <w:tcW w:w="4249" w:type="dxa"/>
          </w:tcPr>
          <w:p w:rsidR="00203666" w:rsidRPr="00203666" w:rsidRDefault="00203666" w:rsidP="002A1BF2">
            <w:pPr>
              <w:spacing w:after="120"/>
              <w:jc w:val="both"/>
              <w:rPr>
                <w:rFonts w:ascii="Georgia" w:hAnsi="Georgia"/>
                <w:sz w:val="24"/>
                <w:szCs w:val="24"/>
                <w:shd w:val="clear" w:color="auto" w:fill="FFFFFF"/>
                <w:lang w:val="ro-MD"/>
              </w:rPr>
            </w:pPr>
            <w:r w:rsidRPr="00203666">
              <w:rPr>
                <w:rFonts w:ascii="Times New Roman" w:hAnsi="Times New Roman" w:cs="Times New Roman"/>
                <w:sz w:val="24"/>
                <w:szCs w:val="24"/>
                <w:shd w:val="clear" w:color="auto" w:fill="FFFFFF"/>
                <w:lang w:val="ro-MD"/>
              </w:rPr>
              <w:t xml:space="preserve">la alineatul (13), cuvântul </w:t>
            </w:r>
            <w:r w:rsidRPr="00203666">
              <w:rPr>
                <w:rFonts w:ascii="Times New Roman" w:hAnsi="Times New Roman" w:cs="Times New Roman"/>
                <w:sz w:val="24"/>
                <w:szCs w:val="24"/>
                <w:shd w:val="clear" w:color="auto" w:fill="FFFFFF"/>
              </w:rPr>
              <w:t>“</w:t>
            </w:r>
            <w:proofErr w:type="spellStart"/>
            <w:r w:rsidRPr="00203666">
              <w:rPr>
                <w:rFonts w:ascii="Times New Roman" w:hAnsi="Times New Roman" w:cs="Times New Roman"/>
                <w:sz w:val="24"/>
                <w:szCs w:val="24"/>
                <w:shd w:val="clear" w:color="auto" w:fill="FFFFFF"/>
              </w:rPr>
              <w:t>unic</w:t>
            </w:r>
            <w:proofErr w:type="spellEnd"/>
            <w:r w:rsidRPr="00203666">
              <w:rPr>
                <w:rFonts w:ascii="Times New Roman" w:hAnsi="Times New Roman" w:cs="Times New Roman"/>
                <w:sz w:val="24"/>
                <w:szCs w:val="24"/>
                <w:shd w:val="clear" w:color="auto" w:fill="FFFFFF"/>
              </w:rPr>
              <w:t>” se exclude.</w:t>
            </w:r>
          </w:p>
          <w:p w:rsidR="008070E4" w:rsidRPr="002A1BF2" w:rsidRDefault="008070E4" w:rsidP="002A1BF2">
            <w:pPr>
              <w:jc w:val="both"/>
              <w:rPr>
                <w:rFonts w:ascii="Times New Roman" w:hAnsi="Times New Roman" w:cs="Times New Roman"/>
                <w:color w:val="000000"/>
                <w:sz w:val="24"/>
                <w:szCs w:val="24"/>
                <w:lang w:val="ro-MD"/>
              </w:rPr>
            </w:pPr>
          </w:p>
        </w:tc>
        <w:tc>
          <w:tcPr>
            <w:tcW w:w="3594" w:type="dxa"/>
          </w:tcPr>
          <w:p w:rsidR="008070E4" w:rsidRPr="002A1BF2" w:rsidRDefault="00203666" w:rsidP="002A1BF2">
            <w:pPr>
              <w:shd w:val="clear" w:color="auto" w:fill="FFFFFF"/>
              <w:jc w:val="both"/>
              <w:rPr>
                <w:rFonts w:ascii="Times New Roman" w:eastAsia="Times New Roman" w:hAnsi="Times New Roman" w:cs="Times New Roman"/>
                <w:b/>
                <w:bCs/>
                <w:color w:val="000000"/>
                <w:sz w:val="24"/>
                <w:szCs w:val="24"/>
                <w:lang w:val="ro-MD"/>
              </w:rPr>
            </w:pPr>
            <w:r w:rsidRPr="002A1BF2">
              <w:rPr>
                <w:rFonts w:ascii="Times New Roman" w:hAnsi="Times New Roman" w:cs="Times New Roman"/>
                <w:color w:val="000000"/>
                <w:sz w:val="24"/>
                <w:szCs w:val="24"/>
                <w:shd w:val="clear" w:color="auto" w:fill="FFFFFF"/>
                <w:lang w:val="ro-MD"/>
              </w:rPr>
              <w:t>(13) AGEPI desemnează din oficiu colectorul în cazul în care există doar o singură organizație de gestiune colectivă pe un drept prevăzut la art. 70 alin. (2) și/sau art. 78 alin. (3).</w:t>
            </w:r>
          </w:p>
        </w:tc>
      </w:tr>
      <w:tr w:rsidR="00454B76" w:rsidRPr="002A1BF2" w:rsidTr="008070E4">
        <w:tc>
          <w:tcPr>
            <w:tcW w:w="757" w:type="dxa"/>
          </w:tcPr>
          <w:p w:rsidR="00454B76" w:rsidRPr="002A1BF2" w:rsidRDefault="00154D89" w:rsidP="002A1BF2">
            <w:pPr>
              <w:tabs>
                <w:tab w:val="left" w:pos="2977"/>
                <w:tab w:val="left" w:pos="5812"/>
              </w:tabs>
              <w:ind w:left="360"/>
              <w:jc w:val="center"/>
              <w:rPr>
                <w:rFonts w:ascii="Times New Roman" w:hAnsi="Times New Roman" w:cs="Times New Roman"/>
                <w:b/>
                <w:sz w:val="24"/>
                <w:szCs w:val="24"/>
                <w:lang w:val="ro-MD"/>
              </w:rPr>
            </w:pPr>
            <w:r w:rsidRPr="002A1BF2">
              <w:rPr>
                <w:rFonts w:ascii="Times New Roman" w:hAnsi="Times New Roman" w:cs="Times New Roman"/>
                <w:b/>
                <w:sz w:val="24"/>
                <w:szCs w:val="24"/>
                <w:lang w:val="ro-MD"/>
              </w:rPr>
              <w:t>5.</w:t>
            </w:r>
          </w:p>
        </w:tc>
        <w:tc>
          <w:tcPr>
            <w:tcW w:w="4350" w:type="dxa"/>
          </w:tcPr>
          <w:p w:rsidR="00454B76" w:rsidRPr="002A1BF2" w:rsidRDefault="00154D89" w:rsidP="002A1BF2">
            <w:pPr>
              <w:pStyle w:val="NormalWeb"/>
              <w:shd w:val="clear" w:color="auto" w:fill="FFFFFF"/>
              <w:spacing w:before="0" w:beforeAutospacing="0" w:after="0" w:afterAutospacing="0"/>
              <w:jc w:val="both"/>
              <w:rPr>
                <w:color w:val="000000"/>
                <w:shd w:val="clear" w:color="auto" w:fill="FFFFFF"/>
                <w:lang w:val="ro-MD"/>
              </w:rPr>
            </w:pPr>
            <w:proofErr w:type="spellStart"/>
            <w:r w:rsidRPr="002A1BF2">
              <w:rPr>
                <w:rStyle w:val="Strong"/>
                <w:color w:val="000000"/>
                <w:shd w:val="clear" w:color="auto" w:fill="FFFFFF"/>
              </w:rPr>
              <w:t>Articolul</w:t>
            </w:r>
            <w:proofErr w:type="spellEnd"/>
            <w:r w:rsidRPr="002A1BF2">
              <w:rPr>
                <w:rStyle w:val="Strong"/>
                <w:color w:val="000000"/>
                <w:shd w:val="clear" w:color="auto" w:fill="FFFFFF"/>
              </w:rPr>
              <w:t xml:space="preserve"> 123.</w:t>
            </w:r>
            <w:r w:rsidRPr="002A1BF2">
              <w:rPr>
                <w:color w:val="000000"/>
                <w:shd w:val="clear" w:color="auto" w:fill="FFFFFF"/>
              </w:rPr>
              <w:t> </w:t>
            </w:r>
            <w:proofErr w:type="spellStart"/>
            <w:r w:rsidRPr="002A1BF2">
              <w:rPr>
                <w:color w:val="000000"/>
                <w:shd w:val="clear" w:color="auto" w:fill="FFFFFF"/>
              </w:rPr>
              <w:t>Dispoziții</w:t>
            </w:r>
            <w:proofErr w:type="spellEnd"/>
            <w:r w:rsidRPr="002A1BF2">
              <w:rPr>
                <w:color w:val="000000"/>
                <w:shd w:val="clear" w:color="auto" w:fill="FFFFFF"/>
              </w:rPr>
              <w:t xml:space="preserve"> </w:t>
            </w:r>
            <w:proofErr w:type="spellStart"/>
            <w:r w:rsidRPr="002A1BF2">
              <w:rPr>
                <w:color w:val="000000"/>
                <w:shd w:val="clear" w:color="auto" w:fill="FFFFFF"/>
              </w:rPr>
              <w:t>tranzitorii</w:t>
            </w:r>
            <w:proofErr w:type="spellEnd"/>
          </w:p>
        </w:tc>
        <w:tc>
          <w:tcPr>
            <w:tcW w:w="4249" w:type="dxa"/>
          </w:tcPr>
          <w:p w:rsidR="002A1BF2" w:rsidRPr="009D2670" w:rsidRDefault="002A1BF2" w:rsidP="002A1BF2">
            <w:pPr>
              <w:pStyle w:val="Default"/>
              <w:jc w:val="both"/>
              <w:rPr>
                <w:rFonts w:ascii="Times New Roman" w:hAnsi="Times New Roman" w:cs="Times New Roman"/>
                <w:i/>
                <w:color w:val="auto"/>
                <w:lang w:val="ro-MD"/>
              </w:rPr>
            </w:pPr>
            <w:r w:rsidRPr="009D2670">
              <w:rPr>
                <w:rFonts w:ascii="Times New Roman" w:hAnsi="Times New Roman" w:cs="Times New Roman"/>
                <w:i/>
                <w:color w:val="auto"/>
                <w:lang w:val="ro-MD"/>
              </w:rPr>
              <w:t xml:space="preserve">Articolul 123 se completează cu alineatul (8) cu următorul cuprins: </w:t>
            </w:r>
          </w:p>
          <w:p w:rsidR="00454B76" w:rsidRPr="002A1BF2" w:rsidRDefault="002A1BF2" w:rsidP="002A1BF2">
            <w:pPr>
              <w:pStyle w:val="NormalWeb"/>
              <w:shd w:val="clear" w:color="auto" w:fill="FFFFFF"/>
              <w:spacing w:before="0" w:beforeAutospacing="0" w:after="0" w:afterAutospacing="0"/>
              <w:jc w:val="both"/>
              <w:rPr>
                <w:lang w:val="ro-MD"/>
              </w:rPr>
            </w:pPr>
            <w:r w:rsidRPr="002A1BF2">
              <w:rPr>
                <w:lang w:val="ro-MD"/>
              </w:rPr>
              <w:t>„(8) Prezenta lege nu afectează atribuțiile, drepturile, obligațiile, capacitatea de exercițiu, capacitatea de folosință, inclusiv capacitatea de folosință și capacitatea de exercițiu a drepturilor procedurale civile a organizațiilor de gestiune colectivă, c</w:t>
            </w:r>
            <w:bookmarkStart w:id="0" w:name="_GoBack"/>
            <w:bookmarkEnd w:id="0"/>
            <w:r w:rsidRPr="002A1BF2">
              <w:rPr>
                <w:lang w:val="ro-MD"/>
              </w:rPr>
              <w:t>are la data intrării în vigoare a prezentei legi, își desfășurau activitatea în condițiile avizelor și deciziilor eliberate de AGEPI în baza Legii nr. 139/2010 privind dreptul de autor și drepturile conexe.”.</w:t>
            </w:r>
          </w:p>
        </w:tc>
        <w:tc>
          <w:tcPr>
            <w:tcW w:w="3594" w:type="dxa"/>
          </w:tcPr>
          <w:p w:rsidR="00454B76" w:rsidRPr="002A1BF2" w:rsidRDefault="002A1BF2" w:rsidP="002A1BF2">
            <w:pPr>
              <w:shd w:val="clear" w:color="auto" w:fill="FFFFFF"/>
              <w:jc w:val="both"/>
              <w:rPr>
                <w:rFonts w:ascii="Times New Roman" w:eastAsia="Times New Roman" w:hAnsi="Times New Roman" w:cs="Times New Roman"/>
                <w:b/>
                <w:bCs/>
                <w:color w:val="000000"/>
                <w:sz w:val="24"/>
                <w:szCs w:val="24"/>
                <w:lang w:val="ro-MD"/>
              </w:rPr>
            </w:pPr>
            <w:r w:rsidRPr="002A1BF2">
              <w:rPr>
                <w:rFonts w:ascii="Times New Roman" w:hAnsi="Times New Roman" w:cs="Times New Roman"/>
                <w:sz w:val="24"/>
                <w:szCs w:val="24"/>
                <w:lang w:val="ro-MD"/>
              </w:rPr>
              <w:t>(8) Prezenta lege nu afectează atribuțiile, drepturile, obligațiile, capacitatea de exercițiu, capacitatea de folosință, inclusiv capacitatea de folosință și capacitatea de exercițiu a drepturilor procedurale civile a organizațiilor de gestiune colectivă, care la data intrării în vigoare a prezentei legi, își desfășurau activitatea în condițiile avizelor și deciziilor eliberate de AGEPI în baza Legii nr. 139/2010 privind dreptul</w:t>
            </w:r>
            <w:r w:rsidRPr="002A1BF2">
              <w:rPr>
                <w:rFonts w:ascii="Times New Roman" w:hAnsi="Times New Roman" w:cs="Times New Roman"/>
                <w:sz w:val="24"/>
                <w:szCs w:val="24"/>
                <w:lang w:val="ro-MD"/>
              </w:rPr>
              <w:t xml:space="preserve"> de autor și drepturile conexe.</w:t>
            </w:r>
          </w:p>
        </w:tc>
      </w:tr>
    </w:tbl>
    <w:p w:rsidR="001A6906" w:rsidRPr="002A1BF2" w:rsidRDefault="001A6906" w:rsidP="002A1BF2">
      <w:pPr>
        <w:tabs>
          <w:tab w:val="left" w:pos="2977"/>
          <w:tab w:val="left" w:pos="5812"/>
        </w:tabs>
        <w:spacing w:after="0" w:line="240" w:lineRule="auto"/>
        <w:jc w:val="center"/>
        <w:rPr>
          <w:rFonts w:ascii="Times New Roman" w:hAnsi="Times New Roman" w:cs="Times New Roman"/>
          <w:b/>
          <w:sz w:val="24"/>
          <w:szCs w:val="24"/>
          <w:lang w:val="ro-MD"/>
        </w:rPr>
      </w:pPr>
    </w:p>
    <w:sectPr w:rsidR="001A6906" w:rsidRPr="002A1BF2" w:rsidSect="00114BC6">
      <w:headerReference w:type="default" r:id="rId8"/>
      <w:pgSz w:w="15840" w:h="12240" w:orient="landscape"/>
      <w:pgMar w:top="85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67A" w:rsidRDefault="00CB467A" w:rsidP="00CB467A">
      <w:pPr>
        <w:spacing w:after="0" w:line="240" w:lineRule="auto"/>
      </w:pPr>
      <w:r>
        <w:separator/>
      </w:r>
    </w:p>
  </w:endnote>
  <w:endnote w:type="continuationSeparator" w:id="0">
    <w:p w:rsidR="00CB467A" w:rsidRDefault="00CB467A" w:rsidP="00CB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67A" w:rsidRDefault="00CB467A" w:rsidP="00CB467A">
      <w:pPr>
        <w:spacing w:after="0" w:line="240" w:lineRule="auto"/>
      </w:pPr>
      <w:r>
        <w:separator/>
      </w:r>
    </w:p>
  </w:footnote>
  <w:footnote w:type="continuationSeparator" w:id="0">
    <w:p w:rsidR="00CB467A" w:rsidRDefault="00CB467A" w:rsidP="00CB4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298256"/>
      <w:docPartObj>
        <w:docPartGallery w:val="Page Numbers (Top of Page)"/>
        <w:docPartUnique/>
      </w:docPartObj>
    </w:sdtPr>
    <w:sdtEndPr>
      <w:rPr>
        <w:noProof/>
      </w:rPr>
    </w:sdtEndPr>
    <w:sdtContent>
      <w:p w:rsidR="00114BC6" w:rsidRDefault="00114BC6">
        <w:pPr>
          <w:pStyle w:val="Header"/>
          <w:jc w:val="center"/>
        </w:pPr>
        <w:r>
          <w:fldChar w:fldCharType="begin"/>
        </w:r>
        <w:r>
          <w:instrText xml:space="preserve"> PAGE   \* MERGEFORMAT </w:instrText>
        </w:r>
        <w:r>
          <w:fldChar w:fldCharType="separate"/>
        </w:r>
        <w:r w:rsidR="009D2670">
          <w:rPr>
            <w:noProof/>
          </w:rPr>
          <w:t>4</w:t>
        </w:r>
        <w:r>
          <w:rPr>
            <w:noProof/>
          </w:rPr>
          <w:fldChar w:fldCharType="end"/>
        </w:r>
      </w:p>
    </w:sdtContent>
  </w:sdt>
  <w:p w:rsidR="00CB467A" w:rsidRDefault="00CB4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0400F"/>
    <w:multiLevelType w:val="hybridMultilevel"/>
    <w:tmpl w:val="70BC3F6C"/>
    <w:lvl w:ilvl="0" w:tplc="0F7C78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7820165"/>
    <w:multiLevelType w:val="hybridMultilevel"/>
    <w:tmpl w:val="95E2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80"/>
    <w:rsid w:val="00001270"/>
    <w:rsid w:val="00003C04"/>
    <w:rsid w:val="00007590"/>
    <w:rsid w:val="00041BC8"/>
    <w:rsid w:val="0007076A"/>
    <w:rsid w:val="00080D49"/>
    <w:rsid w:val="000C2CE9"/>
    <w:rsid w:val="000F5580"/>
    <w:rsid w:val="00114BC6"/>
    <w:rsid w:val="00154D89"/>
    <w:rsid w:val="001A6906"/>
    <w:rsid w:val="001F69BB"/>
    <w:rsid w:val="00203666"/>
    <w:rsid w:val="00214C27"/>
    <w:rsid w:val="00225688"/>
    <w:rsid w:val="00247332"/>
    <w:rsid w:val="00263152"/>
    <w:rsid w:val="002A1BF2"/>
    <w:rsid w:val="003A16B7"/>
    <w:rsid w:val="004326C3"/>
    <w:rsid w:val="00454B76"/>
    <w:rsid w:val="00461183"/>
    <w:rsid w:val="00465CCD"/>
    <w:rsid w:val="004C5FB3"/>
    <w:rsid w:val="0056307D"/>
    <w:rsid w:val="005A184D"/>
    <w:rsid w:val="005F1A1D"/>
    <w:rsid w:val="0061338F"/>
    <w:rsid w:val="00626167"/>
    <w:rsid w:val="00661579"/>
    <w:rsid w:val="00661A54"/>
    <w:rsid w:val="00691BAA"/>
    <w:rsid w:val="00694A51"/>
    <w:rsid w:val="006F4DB3"/>
    <w:rsid w:val="00721C9E"/>
    <w:rsid w:val="008070E4"/>
    <w:rsid w:val="00815497"/>
    <w:rsid w:val="0082246F"/>
    <w:rsid w:val="00844F6A"/>
    <w:rsid w:val="008608B5"/>
    <w:rsid w:val="008B23FD"/>
    <w:rsid w:val="00941804"/>
    <w:rsid w:val="009846CE"/>
    <w:rsid w:val="009D2670"/>
    <w:rsid w:val="00A304B2"/>
    <w:rsid w:val="00A50B26"/>
    <w:rsid w:val="00A91D01"/>
    <w:rsid w:val="00AC00DC"/>
    <w:rsid w:val="00B62143"/>
    <w:rsid w:val="00B95B35"/>
    <w:rsid w:val="00BA5977"/>
    <w:rsid w:val="00C73A3F"/>
    <w:rsid w:val="00C7631D"/>
    <w:rsid w:val="00C8327A"/>
    <w:rsid w:val="00C86DCE"/>
    <w:rsid w:val="00C90D98"/>
    <w:rsid w:val="00CB467A"/>
    <w:rsid w:val="00CD4543"/>
    <w:rsid w:val="00CD4E46"/>
    <w:rsid w:val="00CF6FDF"/>
    <w:rsid w:val="00D12092"/>
    <w:rsid w:val="00DC1A47"/>
    <w:rsid w:val="00DE0A97"/>
    <w:rsid w:val="00F120F5"/>
    <w:rsid w:val="00F2347F"/>
    <w:rsid w:val="00F45B1B"/>
    <w:rsid w:val="00FA30B2"/>
    <w:rsid w:val="00FB4AE0"/>
    <w:rsid w:val="00FB784A"/>
    <w:rsid w:val="00FD402B"/>
    <w:rsid w:val="00FE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C00F"/>
  <w15:chartTrackingRefBased/>
  <w15:docId w15:val="{BDC29B9A-39D6-4484-B50D-62B40158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6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906"/>
    <w:pPr>
      <w:ind w:left="720"/>
      <w:contextualSpacing/>
    </w:pPr>
  </w:style>
  <w:style w:type="paragraph" w:styleId="NormalWeb">
    <w:name w:val="Normal (Web)"/>
    <w:basedOn w:val="Normal"/>
    <w:uiPriority w:val="99"/>
    <w:unhideWhenUsed/>
    <w:rsid w:val="00CD45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67A"/>
  </w:style>
  <w:style w:type="paragraph" w:styleId="Footer">
    <w:name w:val="footer"/>
    <w:basedOn w:val="Normal"/>
    <w:link w:val="FooterChar"/>
    <w:uiPriority w:val="99"/>
    <w:unhideWhenUsed/>
    <w:rsid w:val="00CB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67A"/>
  </w:style>
  <w:style w:type="character" w:styleId="Strong">
    <w:name w:val="Strong"/>
    <w:basedOn w:val="DefaultParagraphFont"/>
    <w:uiPriority w:val="22"/>
    <w:qFormat/>
    <w:rsid w:val="00FE500E"/>
    <w:rPr>
      <w:b/>
      <w:bCs/>
    </w:rPr>
  </w:style>
  <w:style w:type="paragraph" w:styleId="BalloonText">
    <w:name w:val="Balloon Text"/>
    <w:basedOn w:val="Normal"/>
    <w:link w:val="BalloonTextChar"/>
    <w:uiPriority w:val="99"/>
    <w:semiHidden/>
    <w:unhideWhenUsed/>
    <w:rsid w:val="00041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BC8"/>
    <w:rPr>
      <w:rFonts w:ascii="Segoe UI" w:hAnsi="Segoe UI" w:cs="Segoe UI"/>
      <w:sz w:val="18"/>
      <w:szCs w:val="18"/>
    </w:rPr>
  </w:style>
  <w:style w:type="paragraph" w:customStyle="1" w:styleId="Default">
    <w:name w:val="Default"/>
    <w:rsid w:val="002A1BF2"/>
    <w:pPr>
      <w:autoSpaceDE w:val="0"/>
      <w:autoSpaceDN w:val="0"/>
      <w:adjustRightInd w:val="0"/>
      <w:spacing w:after="0" w:line="240" w:lineRule="auto"/>
    </w:pPr>
    <w:rPr>
      <w:rFonts w:ascii="Georgia" w:hAnsi="Georgia" w:cs="Georgi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47067">
      <w:bodyDiv w:val="1"/>
      <w:marLeft w:val="0"/>
      <w:marRight w:val="0"/>
      <w:marTop w:val="0"/>
      <w:marBottom w:val="0"/>
      <w:divBdr>
        <w:top w:val="none" w:sz="0" w:space="0" w:color="auto"/>
        <w:left w:val="none" w:sz="0" w:space="0" w:color="auto"/>
        <w:bottom w:val="none" w:sz="0" w:space="0" w:color="auto"/>
        <w:right w:val="none" w:sz="0" w:space="0" w:color="auto"/>
      </w:divBdr>
    </w:div>
    <w:div w:id="974330688">
      <w:bodyDiv w:val="1"/>
      <w:marLeft w:val="0"/>
      <w:marRight w:val="0"/>
      <w:marTop w:val="0"/>
      <w:marBottom w:val="0"/>
      <w:divBdr>
        <w:top w:val="none" w:sz="0" w:space="0" w:color="auto"/>
        <w:left w:val="none" w:sz="0" w:space="0" w:color="auto"/>
        <w:bottom w:val="none" w:sz="0" w:space="0" w:color="auto"/>
        <w:right w:val="none" w:sz="0" w:space="0" w:color="auto"/>
      </w:divBdr>
    </w:div>
    <w:div w:id="1766875539">
      <w:bodyDiv w:val="1"/>
      <w:marLeft w:val="0"/>
      <w:marRight w:val="0"/>
      <w:marTop w:val="0"/>
      <w:marBottom w:val="0"/>
      <w:divBdr>
        <w:top w:val="none" w:sz="0" w:space="0" w:color="auto"/>
        <w:left w:val="none" w:sz="0" w:space="0" w:color="auto"/>
        <w:bottom w:val="none" w:sz="0" w:space="0" w:color="auto"/>
        <w:right w:val="none" w:sz="0" w:space="0" w:color="auto"/>
      </w:divBdr>
    </w:div>
    <w:div w:id="2005549741">
      <w:bodyDiv w:val="1"/>
      <w:marLeft w:val="0"/>
      <w:marRight w:val="0"/>
      <w:marTop w:val="0"/>
      <w:marBottom w:val="0"/>
      <w:divBdr>
        <w:top w:val="none" w:sz="0" w:space="0" w:color="auto"/>
        <w:left w:val="none" w:sz="0" w:space="0" w:color="auto"/>
        <w:bottom w:val="none" w:sz="0" w:space="0" w:color="auto"/>
        <w:right w:val="none" w:sz="0" w:space="0" w:color="auto"/>
      </w:divBdr>
    </w:div>
    <w:div w:id="20062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6D3DC-F7CB-44F4-B0DE-A1633B59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Morari Daniela</dc:creator>
  <cp:keywords/>
  <dc:description/>
  <cp:lastModifiedBy>Morari Daniela</cp:lastModifiedBy>
  <cp:revision>107</cp:revision>
  <dcterms:created xsi:type="dcterms:W3CDTF">2023-06-25T12:41:00Z</dcterms:created>
  <dcterms:modified xsi:type="dcterms:W3CDTF">2025-04-04T06:31:00Z</dcterms:modified>
</cp:coreProperties>
</file>