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625" w:rsidRPr="00113981" w:rsidRDefault="00B37625" w:rsidP="00B37625">
      <w:pPr>
        <w:tabs>
          <w:tab w:val="left" w:pos="0"/>
          <w:tab w:val="left" w:pos="540"/>
          <w:tab w:val="left" w:pos="2505"/>
        </w:tabs>
        <w:spacing w:line="360" w:lineRule="auto"/>
        <w:jc w:val="center"/>
        <w:rPr>
          <w:b/>
          <w:sz w:val="24"/>
          <w:szCs w:val="24"/>
          <w:lang w:val="ro-RO"/>
        </w:rPr>
      </w:pPr>
      <w:r w:rsidRPr="00113981">
        <w:rPr>
          <w:b/>
          <w:sz w:val="24"/>
          <w:szCs w:val="24"/>
          <w:lang w:val="ro-RO"/>
        </w:rPr>
        <w:t>Notă informativă</w:t>
      </w:r>
    </w:p>
    <w:p w:rsidR="00B37625" w:rsidRDefault="00B37625" w:rsidP="00B37625">
      <w:pPr>
        <w:tabs>
          <w:tab w:val="left" w:pos="0"/>
          <w:tab w:val="left" w:pos="540"/>
          <w:tab w:val="left" w:pos="2505"/>
        </w:tabs>
        <w:spacing w:line="360" w:lineRule="auto"/>
        <w:jc w:val="center"/>
        <w:rPr>
          <w:b/>
          <w:sz w:val="24"/>
          <w:szCs w:val="24"/>
          <w:lang w:val="ro-RO"/>
        </w:rPr>
      </w:pPr>
      <w:r>
        <w:rPr>
          <w:b/>
          <w:sz w:val="24"/>
          <w:szCs w:val="24"/>
          <w:lang w:val="ro-RO"/>
        </w:rPr>
        <w:t>l</w:t>
      </w:r>
      <w:r w:rsidRPr="00113981">
        <w:rPr>
          <w:b/>
          <w:sz w:val="24"/>
          <w:szCs w:val="24"/>
          <w:lang w:val="ro-RO"/>
        </w:rPr>
        <w:t>a pr</w:t>
      </w:r>
      <w:r>
        <w:rPr>
          <w:b/>
          <w:sz w:val="24"/>
          <w:szCs w:val="24"/>
          <w:lang w:val="ro-RO"/>
        </w:rPr>
        <w:t>oiectul Hotărârii de Guvern al R</w:t>
      </w:r>
      <w:r w:rsidRPr="00113981">
        <w:rPr>
          <w:b/>
          <w:sz w:val="24"/>
          <w:szCs w:val="24"/>
          <w:lang w:val="ro-RO"/>
        </w:rPr>
        <w:t>epublicii Moldova „Cu privire la aprobarea Regulamentului sanitar privind cărţile şi ediţiile pentru copii”</w:t>
      </w:r>
    </w:p>
    <w:p w:rsidR="00B37625" w:rsidRDefault="00B37625" w:rsidP="00B37625">
      <w:pPr>
        <w:tabs>
          <w:tab w:val="left" w:pos="0"/>
          <w:tab w:val="left" w:pos="540"/>
          <w:tab w:val="left" w:pos="2505"/>
        </w:tabs>
        <w:spacing w:line="360" w:lineRule="auto"/>
        <w:jc w:val="both"/>
        <w:rPr>
          <w:b/>
          <w:sz w:val="24"/>
          <w:szCs w:val="24"/>
          <w:lang w:val="ro-RO"/>
        </w:rPr>
      </w:pPr>
    </w:p>
    <w:p w:rsidR="00B37625" w:rsidRDefault="00B37625" w:rsidP="00B37625">
      <w:pPr>
        <w:tabs>
          <w:tab w:val="left" w:pos="0"/>
          <w:tab w:val="left" w:pos="540"/>
          <w:tab w:val="left" w:pos="2505"/>
        </w:tabs>
        <w:spacing w:line="360" w:lineRule="auto"/>
        <w:jc w:val="both"/>
        <w:rPr>
          <w:b/>
          <w:sz w:val="24"/>
          <w:szCs w:val="24"/>
          <w:lang w:val="ro-RO"/>
        </w:rPr>
      </w:pPr>
      <w:r>
        <w:rPr>
          <w:b/>
          <w:sz w:val="24"/>
          <w:szCs w:val="24"/>
          <w:lang w:val="ro-RO"/>
        </w:rPr>
        <w:t>Condiţiile ce au impus elaborarea proiectului:</w:t>
      </w:r>
    </w:p>
    <w:p w:rsidR="00B37625" w:rsidRDefault="00B37625" w:rsidP="00B37625">
      <w:pPr>
        <w:tabs>
          <w:tab w:val="left" w:pos="0"/>
          <w:tab w:val="left" w:pos="540"/>
          <w:tab w:val="left" w:pos="2505"/>
        </w:tabs>
        <w:spacing w:line="360" w:lineRule="auto"/>
        <w:jc w:val="both"/>
        <w:rPr>
          <w:sz w:val="24"/>
          <w:szCs w:val="24"/>
          <w:lang w:val="ro-RO"/>
        </w:rPr>
      </w:pPr>
      <w:r>
        <w:rPr>
          <w:sz w:val="24"/>
          <w:szCs w:val="24"/>
          <w:lang w:val="ro-RO"/>
        </w:rPr>
        <w:t xml:space="preserve">     </w:t>
      </w:r>
      <w:r w:rsidRPr="00444B2E">
        <w:rPr>
          <w:sz w:val="24"/>
          <w:szCs w:val="24"/>
          <w:lang w:val="ro-RO"/>
        </w:rPr>
        <w:t xml:space="preserve">Prezentul proiect de </w:t>
      </w:r>
      <w:r>
        <w:rPr>
          <w:sz w:val="24"/>
          <w:szCs w:val="24"/>
          <w:lang w:val="ro-RO"/>
        </w:rPr>
        <w:t>Hotărâre de Guvern est elaborat în baza prevederilor art. 6 şi 72 a Legii nr. 10-XVI din 03 februarie 2009 privind supravegherea de stat a sănătăţii publice.</w:t>
      </w:r>
    </w:p>
    <w:p w:rsidR="00B37625" w:rsidRDefault="00B37625" w:rsidP="00B37625">
      <w:pPr>
        <w:tabs>
          <w:tab w:val="left" w:pos="0"/>
          <w:tab w:val="left" w:pos="540"/>
          <w:tab w:val="left" w:pos="2505"/>
        </w:tabs>
        <w:spacing w:line="360" w:lineRule="auto"/>
        <w:jc w:val="both"/>
        <w:rPr>
          <w:b/>
          <w:sz w:val="24"/>
          <w:szCs w:val="24"/>
          <w:lang w:val="ro-RO"/>
        </w:rPr>
      </w:pPr>
      <w:r w:rsidRPr="00444B2E">
        <w:rPr>
          <w:b/>
          <w:sz w:val="24"/>
          <w:szCs w:val="24"/>
          <w:lang w:val="ro-RO"/>
        </w:rPr>
        <w:t>Gradul de compatibilitate al proiectului de act normativ cu reglementările legislaţiei comunitare:</w:t>
      </w:r>
    </w:p>
    <w:p w:rsidR="00B37625" w:rsidRDefault="00B37625" w:rsidP="00B37625">
      <w:pPr>
        <w:spacing w:line="360" w:lineRule="auto"/>
        <w:jc w:val="both"/>
        <w:rPr>
          <w:sz w:val="24"/>
          <w:szCs w:val="24"/>
          <w:lang w:val="ro-RO"/>
        </w:rPr>
      </w:pPr>
      <w:r>
        <w:rPr>
          <w:b/>
          <w:sz w:val="24"/>
          <w:szCs w:val="24"/>
          <w:lang w:val="ro-RO"/>
        </w:rPr>
        <w:t xml:space="preserve">     </w:t>
      </w:r>
      <w:r w:rsidRPr="00AE7D5B">
        <w:rPr>
          <w:sz w:val="24"/>
          <w:szCs w:val="24"/>
          <w:lang w:val="ro-RO"/>
        </w:rPr>
        <w:t xml:space="preserve">Domeniul </w:t>
      </w:r>
      <w:r>
        <w:rPr>
          <w:sz w:val="24"/>
          <w:szCs w:val="24"/>
          <w:lang w:val="ro-RO"/>
        </w:rPr>
        <w:t>de sănătate publică nu este întru totul reglementat de UE, bazat pe principiul subsidiarităţii, menţionat în Tratatul de la Lisabona, semnat la 13.12.2007, intrat în vigoare la 1 decembrie 2009, care stabileşte sfere de competenţe a Uniunii Europene, cât şi în Hotărârea Guvernului nr. 1345 din 24.11.2006 cu privire la armonizarea legislaţiei Republicii Moldova cu legislaţia comunitară.</w:t>
      </w:r>
    </w:p>
    <w:p w:rsidR="00B37625" w:rsidRDefault="00B37625" w:rsidP="00B37625">
      <w:pPr>
        <w:spacing w:line="360" w:lineRule="auto"/>
        <w:jc w:val="both"/>
        <w:rPr>
          <w:sz w:val="24"/>
          <w:szCs w:val="24"/>
          <w:lang w:val="ro-RO"/>
        </w:rPr>
      </w:pPr>
      <w:r>
        <w:rPr>
          <w:sz w:val="24"/>
          <w:szCs w:val="24"/>
          <w:lang w:val="ro-RO"/>
        </w:rPr>
        <w:t xml:space="preserve">     În acest context s-a constatat, că fiecare stat membru al UE îşi reglementează politici în domeniul protecţiei şi îmbunătăţirii sănătăţii umane, domeniu expus în tratatul de la Lisabona.</w:t>
      </w:r>
    </w:p>
    <w:p w:rsidR="00B37625" w:rsidRDefault="00B37625" w:rsidP="00B37625">
      <w:pPr>
        <w:spacing w:line="360" w:lineRule="auto"/>
        <w:jc w:val="both"/>
        <w:rPr>
          <w:sz w:val="24"/>
          <w:szCs w:val="24"/>
          <w:lang w:val="ro-RO"/>
        </w:rPr>
      </w:pPr>
      <w:r>
        <w:rPr>
          <w:sz w:val="24"/>
          <w:szCs w:val="24"/>
          <w:lang w:val="ro-RO"/>
        </w:rPr>
        <w:t xml:space="preserve">     Nu au fost identificate careva reglementări comunitare sau ale OMS în domeniul reglementat de proiectul în cauză. Elaborarea acestor acte este lăsată la discreţia fiecărui stat în parte.</w:t>
      </w:r>
    </w:p>
    <w:p w:rsidR="00B37625" w:rsidRDefault="00B37625" w:rsidP="00B37625">
      <w:pPr>
        <w:spacing w:line="360" w:lineRule="auto"/>
        <w:jc w:val="both"/>
        <w:rPr>
          <w:b/>
          <w:sz w:val="24"/>
          <w:szCs w:val="24"/>
          <w:lang w:val="ro-RO"/>
        </w:rPr>
      </w:pPr>
      <w:r w:rsidRPr="00444B2E">
        <w:rPr>
          <w:b/>
          <w:sz w:val="24"/>
          <w:szCs w:val="24"/>
          <w:lang w:val="ro-RO"/>
        </w:rPr>
        <w:t>Principalele prevederi şi elemente noi ale proiectului:</w:t>
      </w:r>
    </w:p>
    <w:p w:rsidR="00B37625" w:rsidRDefault="00B37625" w:rsidP="00B37625">
      <w:pPr>
        <w:spacing w:line="360" w:lineRule="auto"/>
        <w:jc w:val="both"/>
        <w:rPr>
          <w:sz w:val="24"/>
          <w:szCs w:val="24"/>
          <w:lang w:val="ro-RO"/>
        </w:rPr>
      </w:pPr>
      <w:r w:rsidRPr="00444B2E">
        <w:rPr>
          <w:sz w:val="24"/>
          <w:szCs w:val="24"/>
          <w:lang w:val="ro-RO"/>
        </w:rPr>
        <w:t xml:space="preserve">     Unul din domeni</w:t>
      </w:r>
      <w:r>
        <w:rPr>
          <w:sz w:val="24"/>
          <w:szCs w:val="24"/>
          <w:lang w:val="ro-RO"/>
        </w:rPr>
        <w:t xml:space="preserve">ile principale de preocupare a Serviciului de Supraveghere de Stat a Sănătăţii Publice este starea de sănătate a copiilor. Ea fiind influenţată de factorii mediului ocupaţional, care ocupă 30% din ponderea totală a tuturor factorilor determinanţi a stării de sănătate. Condiţiile nefavorabile a mediului ocupaţional pot influenţa nefast starea de sănătate. Astfel, în activitatea sa zi de zi copiii sunt preocupaţi în cea mai mare parte de procesul instructiv-educativ, care necesită suprasolicitarea analizatorului vizual, sistemelor nervos şi circulator. Pe parcursul anilor 2008-2012 bolile ochilor şi anexelor sale ocupă la elevi printre primele locuri în structura morbidităţii generale variind de la 46,3 </w:t>
      </w:r>
      <w:r w:rsidRPr="00DB4349">
        <w:rPr>
          <w:sz w:val="24"/>
          <w:szCs w:val="24"/>
          <w:lang w:val="ro-RO"/>
        </w:rPr>
        <w:t>‰</w:t>
      </w:r>
      <w:r>
        <w:rPr>
          <w:sz w:val="24"/>
          <w:szCs w:val="24"/>
          <w:lang w:val="ro-RO"/>
        </w:rPr>
        <w:t xml:space="preserve"> până la 51,4 </w:t>
      </w:r>
      <w:r w:rsidRPr="00DB4349">
        <w:rPr>
          <w:sz w:val="24"/>
          <w:szCs w:val="24"/>
          <w:lang w:val="ro-RO"/>
        </w:rPr>
        <w:t>‰</w:t>
      </w:r>
      <w:r>
        <w:rPr>
          <w:sz w:val="24"/>
          <w:szCs w:val="24"/>
          <w:lang w:val="ro-RO"/>
        </w:rPr>
        <w:t xml:space="preserve">. Cauzele principale care au determinat creşterea nivelului morbidităţii prin bolile ochilor şi anexelor sale sunt nivelul iluminatului insuficient, poziţia incorectă în bancă, necorespunderea </w:t>
      </w:r>
      <w:proofErr w:type="spellStart"/>
      <w:r>
        <w:rPr>
          <w:sz w:val="24"/>
          <w:szCs w:val="24"/>
          <w:lang w:val="ro-RO"/>
        </w:rPr>
        <w:t>înălţimei</w:t>
      </w:r>
      <w:proofErr w:type="spellEnd"/>
      <w:r>
        <w:rPr>
          <w:sz w:val="24"/>
          <w:szCs w:val="24"/>
          <w:lang w:val="ro-RO"/>
        </w:rPr>
        <w:t xml:space="preserve"> mobilierului taliei elevilor, etc. Concomitent, unul din factorii care poate influenţa </w:t>
      </w:r>
      <w:proofErr w:type="spellStart"/>
      <w:r>
        <w:rPr>
          <w:sz w:val="24"/>
          <w:szCs w:val="24"/>
          <w:lang w:val="ro-RO"/>
        </w:rPr>
        <w:t>statea</w:t>
      </w:r>
      <w:proofErr w:type="spellEnd"/>
      <w:r>
        <w:rPr>
          <w:sz w:val="24"/>
          <w:szCs w:val="24"/>
          <w:lang w:val="ro-RO"/>
        </w:rPr>
        <w:t xml:space="preserve"> de sănătate a copilului sunt necorespunderea particularităţilor de vârstă a </w:t>
      </w:r>
      <w:proofErr w:type="spellStart"/>
      <w:r>
        <w:rPr>
          <w:sz w:val="24"/>
          <w:szCs w:val="24"/>
          <w:lang w:val="ro-RO"/>
        </w:rPr>
        <w:t>caracrerilor</w:t>
      </w:r>
      <w:proofErr w:type="spellEnd"/>
      <w:r>
        <w:rPr>
          <w:sz w:val="24"/>
          <w:szCs w:val="24"/>
          <w:lang w:val="ro-RO"/>
        </w:rPr>
        <w:t xml:space="preserve"> cărţilor sau ediţiilor pentru copii. Nerespectarea parametrilor de vârstă a </w:t>
      </w:r>
      <w:proofErr w:type="spellStart"/>
      <w:r>
        <w:rPr>
          <w:sz w:val="24"/>
          <w:szCs w:val="24"/>
          <w:lang w:val="ro-RO"/>
        </w:rPr>
        <w:t>caracterilor</w:t>
      </w:r>
      <w:proofErr w:type="spellEnd"/>
      <w:r>
        <w:rPr>
          <w:sz w:val="24"/>
          <w:szCs w:val="24"/>
          <w:lang w:val="ro-RO"/>
        </w:rPr>
        <w:t xml:space="preserve"> cauzează deficienţe în timpul cititului la copil. Odată cu modernizarea procesului instructiv-educativ apar noi posibilităţi de informare a copilului cum ar fi: internet, </w:t>
      </w:r>
      <w:proofErr w:type="spellStart"/>
      <w:r>
        <w:rPr>
          <w:sz w:val="24"/>
          <w:szCs w:val="24"/>
          <w:lang w:val="ro-RO"/>
        </w:rPr>
        <w:t>mass</w:t>
      </w:r>
      <w:proofErr w:type="spellEnd"/>
      <w:r>
        <w:rPr>
          <w:sz w:val="24"/>
          <w:szCs w:val="24"/>
          <w:lang w:val="ro-RO"/>
        </w:rPr>
        <w:t xml:space="preserve"> media, etc. Una din sursele principale de cunoaştere şi informare la copil sunt cărţile. Cititul îndelungat poate provoca spasmul muşchilor oculari, </w:t>
      </w:r>
      <w:r>
        <w:rPr>
          <w:sz w:val="24"/>
          <w:szCs w:val="24"/>
          <w:lang w:val="ro-RO"/>
        </w:rPr>
        <w:lastRenderedPageBreak/>
        <w:t xml:space="preserve">încordarea analizatorului vizual. Toate aceste stări pot cauza apariţia bolilor ochilor şi anexelor sale. Gradul de vulnerabilitate a unui copil este mult mai mare cu cât el este mai mic. În perioada copilăriei se definitivează particularităţile </w:t>
      </w:r>
      <w:proofErr w:type="spellStart"/>
      <w:r>
        <w:rPr>
          <w:sz w:val="24"/>
          <w:szCs w:val="24"/>
          <w:lang w:val="ro-RO"/>
        </w:rPr>
        <w:t>morfo-fiziologice</w:t>
      </w:r>
      <w:proofErr w:type="spellEnd"/>
      <w:r>
        <w:rPr>
          <w:sz w:val="24"/>
          <w:szCs w:val="24"/>
          <w:lang w:val="ro-RO"/>
        </w:rPr>
        <w:t xml:space="preserve"> a organelor şi sistemelor de organe. De aceea un element deosebit de important trebuie să se acorde particularităţilor de vârstă. </w:t>
      </w:r>
    </w:p>
    <w:p w:rsidR="00B37625" w:rsidRDefault="00B37625" w:rsidP="00B37625">
      <w:pPr>
        <w:spacing w:line="360" w:lineRule="auto"/>
        <w:jc w:val="both"/>
        <w:rPr>
          <w:sz w:val="24"/>
          <w:szCs w:val="24"/>
          <w:lang w:val="ro-RO"/>
        </w:rPr>
      </w:pPr>
      <w:r>
        <w:rPr>
          <w:sz w:val="24"/>
          <w:szCs w:val="24"/>
          <w:lang w:val="ro-RO"/>
        </w:rPr>
        <w:t xml:space="preserve">     Prezentul proiect stabileşte norme sanitare faţă de cărţi şi ediţii pentru copii. Elementele principale incluse în prezentul proiect sunt: clasificarea igienică a cărţilor şi ediţiilor pentru copii în dependenţă de vârstă, norme sanitare faţă de caracterele ediţiilor I, II, III, IV grupă de vârstă, norme sanitare faţă de materialele poligrafice folosite la editarea cărţilor şi ediţiilor pentru copii cât şi a metodologiei de expertiză sanitară a acestora.</w:t>
      </w:r>
    </w:p>
    <w:p w:rsidR="00B37625" w:rsidRDefault="00B37625" w:rsidP="00B37625">
      <w:pPr>
        <w:spacing w:line="360" w:lineRule="auto"/>
        <w:jc w:val="both"/>
        <w:rPr>
          <w:sz w:val="24"/>
          <w:szCs w:val="24"/>
          <w:lang w:val="ro-RO"/>
        </w:rPr>
      </w:pPr>
      <w:r>
        <w:rPr>
          <w:sz w:val="24"/>
          <w:szCs w:val="24"/>
          <w:lang w:val="ro-RO"/>
        </w:rPr>
        <w:t xml:space="preserve">     Aprobarea prezentului proiect de hotărâre de guvern va asigura fortificarea stării de sănătate a copiilor cu crearea unui mediu sigur, care va contribui la creşterea şi dezvoltarea </w:t>
      </w:r>
      <w:proofErr w:type="spellStart"/>
      <w:r>
        <w:rPr>
          <w:sz w:val="24"/>
          <w:szCs w:val="24"/>
          <w:lang w:val="ro-RO"/>
        </w:rPr>
        <w:t>tineii</w:t>
      </w:r>
      <w:proofErr w:type="spellEnd"/>
      <w:r>
        <w:rPr>
          <w:sz w:val="24"/>
          <w:szCs w:val="24"/>
          <w:lang w:val="ro-RO"/>
        </w:rPr>
        <w:t xml:space="preserve"> generaţii. Procesul </w:t>
      </w:r>
      <w:proofErr w:type="spellStart"/>
      <w:r>
        <w:rPr>
          <w:sz w:val="24"/>
          <w:szCs w:val="24"/>
          <w:lang w:val="ro-RO"/>
        </w:rPr>
        <w:t>cititrii</w:t>
      </w:r>
      <w:proofErr w:type="spellEnd"/>
      <w:r>
        <w:rPr>
          <w:sz w:val="24"/>
          <w:szCs w:val="24"/>
          <w:lang w:val="ro-RO"/>
        </w:rPr>
        <w:t xml:space="preserve"> la copil îi dă posibilitate să cunoască, să comunice cu semenii săi, să-şi dezvolte abilităţi şi deprinderi noi de viaţă. Prin acestea copilul se poate integra în societate.</w:t>
      </w:r>
    </w:p>
    <w:p w:rsidR="00B37625" w:rsidRDefault="00B37625" w:rsidP="00B37625">
      <w:pPr>
        <w:spacing w:line="360" w:lineRule="auto"/>
        <w:jc w:val="both"/>
        <w:rPr>
          <w:b/>
          <w:sz w:val="24"/>
          <w:szCs w:val="24"/>
          <w:lang w:val="ro-RO"/>
        </w:rPr>
      </w:pPr>
      <w:r w:rsidRPr="00AC57F5">
        <w:rPr>
          <w:b/>
          <w:sz w:val="24"/>
          <w:szCs w:val="24"/>
          <w:lang w:val="ro-RO"/>
        </w:rPr>
        <w:t xml:space="preserve">Fundamentarea </w:t>
      </w:r>
      <w:proofErr w:type="spellStart"/>
      <w:r w:rsidRPr="00AC57F5">
        <w:rPr>
          <w:b/>
          <w:sz w:val="24"/>
          <w:szCs w:val="24"/>
          <w:lang w:val="ro-RO"/>
        </w:rPr>
        <w:t>econimico-fina</w:t>
      </w:r>
      <w:r>
        <w:rPr>
          <w:b/>
          <w:sz w:val="24"/>
          <w:szCs w:val="24"/>
          <w:lang w:val="ro-RO"/>
        </w:rPr>
        <w:t>n</w:t>
      </w:r>
      <w:r w:rsidRPr="00AC57F5">
        <w:rPr>
          <w:b/>
          <w:sz w:val="24"/>
          <w:szCs w:val="24"/>
          <w:lang w:val="ro-RO"/>
        </w:rPr>
        <w:t>ciară</w:t>
      </w:r>
      <w:proofErr w:type="spellEnd"/>
      <w:r w:rsidRPr="00AC57F5">
        <w:rPr>
          <w:b/>
          <w:sz w:val="24"/>
          <w:szCs w:val="24"/>
          <w:lang w:val="ro-RO"/>
        </w:rPr>
        <w:t>:</w:t>
      </w:r>
    </w:p>
    <w:p w:rsidR="00B37625" w:rsidRDefault="00B37625" w:rsidP="00B37625">
      <w:pPr>
        <w:spacing w:line="360" w:lineRule="auto"/>
        <w:jc w:val="both"/>
        <w:rPr>
          <w:sz w:val="24"/>
          <w:szCs w:val="24"/>
          <w:lang w:val="ro-RO"/>
        </w:rPr>
      </w:pPr>
      <w:r w:rsidRPr="00AC57F5">
        <w:rPr>
          <w:sz w:val="24"/>
          <w:szCs w:val="24"/>
          <w:lang w:val="ro-RO"/>
        </w:rPr>
        <w:t xml:space="preserve">     Costuri suplimentare, </w:t>
      </w:r>
      <w:r>
        <w:rPr>
          <w:sz w:val="24"/>
          <w:szCs w:val="24"/>
          <w:lang w:val="ro-RO"/>
        </w:rPr>
        <w:t>altele decât cele prevăzute în bugetul de stat, legate de elaborarea şi implementarea proiectului dat nu sunt necesare, întrucât condiţiile impuse de documentul nominalizat nu necesită dotări cu utilaj sofisticat şi tehnologii noi.</w:t>
      </w:r>
    </w:p>
    <w:p w:rsidR="00B37625" w:rsidRDefault="00B37625" w:rsidP="00B37625">
      <w:pPr>
        <w:spacing w:line="360" w:lineRule="auto"/>
        <w:jc w:val="both"/>
        <w:rPr>
          <w:b/>
          <w:sz w:val="24"/>
          <w:szCs w:val="24"/>
          <w:lang w:val="ro-RO"/>
        </w:rPr>
      </w:pPr>
      <w:r w:rsidRPr="00AC57F5">
        <w:rPr>
          <w:b/>
          <w:sz w:val="24"/>
          <w:szCs w:val="24"/>
          <w:lang w:val="ro-RO"/>
        </w:rPr>
        <w:t xml:space="preserve">Elaborarea proiectului: </w:t>
      </w:r>
    </w:p>
    <w:p w:rsidR="00B37625" w:rsidRPr="00917535" w:rsidRDefault="00B37625" w:rsidP="00B37625">
      <w:pPr>
        <w:spacing w:line="360" w:lineRule="auto"/>
        <w:jc w:val="both"/>
        <w:rPr>
          <w:sz w:val="24"/>
          <w:szCs w:val="24"/>
          <w:lang w:val="ro-RO"/>
        </w:rPr>
      </w:pPr>
      <w:r>
        <w:rPr>
          <w:sz w:val="24"/>
          <w:szCs w:val="24"/>
          <w:lang w:val="ro-RO"/>
        </w:rPr>
        <w:t xml:space="preserve">     Proie</w:t>
      </w:r>
      <w:r w:rsidRPr="00917535">
        <w:rPr>
          <w:sz w:val="24"/>
          <w:szCs w:val="24"/>
          <w:lang w:val="ro-RO"/>
        </w:rPr>
        <w:t xml:space="preserve">ctul a fost elaborat de Ministerul Sănătăţii şi a fost înaintat pentru avizare tuturor organelor centrale de specialitate ale administraţiei publice centrale cointeresate, sectorului privat şi societăţii civile. Propunerile acceptabile ale acestora au fost luate în considerare la definitivarea proiectului de act normativ.   </w:t>
      </w:r>
    </w:p>
    <w:p w:rsidR="00B37625" w:rsidRPr="00917535" w:rsidRDefault="00B37625" w:rsidP="00B37625">
      <w:pPr>
        <w:spacing w:line="360" w:lineRule="auto"/>
        <w:jc w:val="both"/>
        <w:rPr>
          <w:sz w:val="24"/>
          <w:szCs w:val="24"/>
          <w:lang w:val="ro-RO"/>
        </w:rPr>
      </w:pPr>
      <w:r w:rsidRPr="00917535">
        <w:rPr>
          <w:sz w:val="24"/>
          <w:szCs w:val="24"/>
          <w:lang w:val="ro-RO"/>
        </w:rPr>
        <w:t xml:space="preserve">    </w:t>
      </w:r>
    </w:p>
    <w:p w:rsidR="00FC0434" w:rsidRPr="00B37625" w:rsidRDefault="00FC0434">
      <w:pPr>
        <w:rPr>
          <w:lang w:val="ro-RO"/>
        </w:rPr>
      </w:pPr>
    </w:p>
    <w:sectPr w:rsidR="00FC0434" w:rsidRPr="00B37625" w:rsidSect="00FC04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37625"/>
    <w:rsid w:val="007D2E98"/>
    <w:rsid w:val="008426E8"/>
    <w:rsid w:val="00B37625"/>
    <w:rsid w:val="00FC04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62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716</Words>
  <Characters>4085</Characters>
  <Application>Microsoft Office Word</Application>
  <DocSecurity>0</DocSecurity>
  <Lines>34</Lines>
  <Paragraphs>9</Paragraphs>
  <ScaleCrop>false</ScaleCrop>
  <Company>Krokoz™</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imihalachi</dc:creator>
  <cp:keywords/>
  <dc:description/>
  <cp:lastModifiedBy>imihalachi</cp:lastModifiedBy>
  <cp:revision>1</cp:revision>
  <dcterms:created xsi:type="dcterms:W3CDTF">2013-08-21T07:58:00Z</dcterms:created>
  <dcterms:modified xsi:type="dcterms:W3CDTF">2013-08-21T08:04:00Z</dcterms:modified>
</cp:coreProperties>
</file>