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B54" w:rsidRPr="003F1368" w:rsidRDefault="00DD4B54" w:rsidP="00DD4B54">
      <w:pPr>
        <w:jc w:val="center"/>
        <w:rPr>
          <w:rFonts w:ascii="Times New Roman" w:hAnsi="Times New Roman"/>
          <w:sz w:val="28"/>
          <w:szCs w:val="28"/>
        </w:rPr>
      </w:pPr>
      <w:r w:rsidRPr="003F1368">
        <w:rPr>
          <w:rFonts w:ascii="Times New Roman" w:hAnsi="Times New Roman"/>
          <w:sz w:val="28"/>
          <w:szCs w:val="28"/>
        </w:rPr>
        <w:t>Nota informativă</w:t>
      </w:r>
    </w:p>
    <w:p w:rsidR="00DD4B54" w:rsidRPr="003F1368" w:rsidRDefault="00DD4B54" w:rsidP="00DD4B54">
      <w:pPr>
        <w:spacing w:after="0"/>
        <w:jc w:val="center"/>
        <w:rPr>
          <w:rFonts w:ascii="Times New Roman" w:hAnsi="Times New Roman"/>
          <w:sz w:val="28"/>
          <w:szCs w:val="28"/>
        </w:rPr>
      </w:pPr>
      <w:r w:rsidRPr="003F1368">
        <w:rPr>
          <w:rFonts w:ascii="Times New Roman" w:hAnsi="Times New Roman"/>
          <w:sz w:val="28"/>
          <w:szCs w:val="28"/>
        </w:rPr>
        <w:t xml:space="preserve">la proiectul de hotărîre a Guvernului </w:t>
      </w:r>
      <w:r>
        <w:rPr>
          <w:rFonts w:ascii="Times New Roman" w:hAnsi="Times New Roman"/>
          <w:sz w:val="28"/>
          <w:szCs w:val="28"/>
        </w:rPr>
        <w:t>„C</w:t>
      </w:r>
      <w:r w:rsidRPr="003F1368">
        <w:rPr>
          <w:rFonts w:ascii="Times New Roman" w:hAnsi="Times New Roman"/>
          <w:sz w:val="28"/>
          <w:szCs w:val="28"/>
        </w:rPr>
        <w:t>u privire la aprobarea</w:t>
      </w:r>
    </w:p>
    <w:p w:rsidR="00DD4B54" w:rsidRPr="003F1368" w:rsidRDefault="00DD4B54" w:rsidP="00DD4B54">
      <w:pPr>
        <w:spacing w:after="0"/>
        <w:jc w:val="center"/>
        <w:rPr>
          <w:rFonts w:ascii="Times New Roman" w:hAnsi="Times New Roman"/>
          <w:sz w:val="28"/>
          <w:szCs w:val="28"/>
        </w:rPr>
      </w:pPr>
      <w:r w:rsidRPr="003F1368">
        <w:rPr>
          <w:rFonts w:ascii="Times New Roman" w:hAnsi="Times New Roman"/>
          <w:sz w:val="28"/>
          <w:szCs w:val="28"/>
        </w:rPr>
        <w:t xml:space="preserve"> modificărilor și completărilor ce se operează în unele hotărîri ale Guvernului</w:t>
      </w:r>
      <w:r>
        <w:rPr>
          <w:rFonts w:ascii="Times New Roman" w:hAnsi="Times New Roman"/>
          <w:sz w:val="28"/>
          <w:szCs w:val="28"/>
        </w:rPr>
        <w:t>”</w:t>
      </w:r>
    </w:p>
    <w:p w:rsidR="00DD4B54" w:rsidRPr="003F1368" w:rsidRDefault="00DD4B54" w:rsidP="00DD4B54">
      <w:pPr>
        <w:spacing w:after="0"/>
        <w:jc w:val="center"/>
        <w:rPr>
          <w:rFonts w:ascii="Times New Roman" w:hAnsi="Times New Roman"/>
          <w:sz w:val="28"/>
          <w:szCs w:val="28"/>
        </w:rPr>
      </w:pPr>
    </w:p>
    <w:p w:rsidR="00DD4B54" w:rsidRPr="003F1368" w:rsidRDefault="00DD4B54" w:rsidP="00DD4B54">
      <w:pPr>
        <w:spacing w:after="0" w:line="360" w:lineRule="auto"/>
        <w:jc w:val="center"/>
        <w:rPr>
          <w:rFonts w:ascii="Times New Roman" w:hAnsi="Times New Roman"/>
          <w:sz w:val="28"/>
          <w:szCs w:val="28"/>
        </w:rPr>
      </w:pPr>
    </w:p>
    <w:p w:rsidR="00DD4B54" w:rsidRDefault="00DD4B54" w:rsidP="00DD4B54">
      <w:pPr>
        <w:spacing w:after="0" w:line="360" w:lineRule="auto"/>
        <w:jc w:val="both"/>
        <w:rPr>
          <w:rFonts w:ascii="Times New Roman" w:hAnsi="Times New Roman"/>
          <w:sz w:val="28"/>
          <w:szCs w:val="28"/>
        </w:rPr>
      </w:pPr>
      <w:r w:rsidRPr="003F1368">
        <w:rPr>
          <w:rFonts w:ascii="Times New Roman" w:hAnsi="Times New Roman"/>
          <w:sz w:val="28"/>
          <w:szCs w:val="28"/>
        </w:rPr>
        <w:tab/>
        <w:t xml:space="preserve">Proiectul de hotărîre a Guvernului </w:t>
      </w:r>
      <w:r>
        <w:rPr>
          <w:rFonts w:ascii="Times New Roman" w:hAnsi="Times New Roman"/>
          <w:sz w:val="28"/>
          <w:szCs w:val="28"/>
        </w:rPr>
        <w:t>„C</w:t>
      </w:r>
      <w:r w:rsidRPr="003F1368">
        <w:rPr>
          <w:rFonts w:ascii="Times New Roman" w:hAnsi="Times New Roman"/>
          <w:sz w:val="28"/>
          <w:szCs w:val="28"/>
        </w:rPr>
        <w:t>u privire la aprobarea  modificărilor și completărilor ce se operează în unele hotărîri ale Guvernului</w:t>
      </w:r>
      <w:r>
        <w:rPr>
          <w:rFonts w:ascii="Times New Roman" w:hAnsi="Times New Roman"/>
          <w:sz w:val="28"/>
          <w:szCs w:val="28"/>
        </w:rPr>
        <w:t>”</w:t>
      </w:r>
      <w:r w:rsidRPr="003F1368">
        <w:rPr>
          <w:rFonts w:ascii="Times New Roman" w:hAnsi="Times New Roman"/>
          <w:sz w:val="28"/>
          <w:szCs w:val="28"/>
        </w:rPr>
        <w:t xml:space="preserve"> este elaborat în temeiul art.LIV lit.a)  din Legea nr.33 din 6 martie 2012 pentru modificarea şi completarea unor acte legislative</w:t>
      </w:r>
      <w:r>
        <w:rPr>
          <w:rFonts w:ascii="Times New Roman" w:hAnsi="Times New Roman"/>
          <w:sz w:val="28"/>
          <w:szCs w:val="28"/>
        </w:rPr>
        <w:t>.</w:t>
      </w:r>
    </w:p>
    <w:p w:rsidR="00DD4B54" w:rsidRPr="00DD4B54" w:rsidRDefault="00DD4B54" w:rsidP="00DD4B54">
      <w:pPr>
        <w:spacing w:after="0" w:line="360" w:lineRule="auto"/>
        <w:ind w:firstLine="708"/>
        <w:jc w:val="both"/>
        <w:rPr>
          <w:rFonts w:ascii="Times New Roman" w:hAnsi="Times New Roman"/>
          <w:color w:val="000000"/>
          <w:sz w:val="28"/>
          <w:szCs w:val="28"/>
        </w:rPr>
      </w:pPr>
      <w:r w:rsidRPr="00DD4B54">
        <w:rPr>
          <w:rFonts w:ascii="Times New Roman" w:hAnsi="Times New Roman"/>
          <w:sz w:val="28"/>
          <w:szCs w:val="28"/>
        </w:rPr>
        <w:t xml:space="preserve">Prin Legea nr.33 din 6 martie 2012,  </w:t>
      </w:r>
      <w:r w:rsidRPr="00DD4B54">
        <w:rPr>
          <w:rFonts w:ascii="Times New Roman" w:hAnsi="Times New Roman"/>
          <w:color w:val="000000"/>
          <w:sz w:val="28"/>
          <w:szCs w:val="28"/>
        </w:rPr>
        <w:t xml:space="preserve">în vederea asigurării utilizării corecte a terminologiei aferente domeniului valutar, într-un şir de acte legislative au fost operate amendamente, ajustîndu-o la terminologia utilizată în Legea </w:t>
      </w:r>
      <w:r w:rsidRPr="00DD4B54">
        <w:rPr>
          <w:rFonts w:ascii="Times New Roman" w:hAnsi="Times New Roman"/>
          <w:sz w:val="28"/>
          <w:szCs w:val="28"/>
        </w:rPr>
        <w:t>nr.62-XVI din 21 martie 2008 privind reglementarea valutară</w:t>
      </w:r>
      <w:r w:rsidRPr="00DD4B54">
        <w:rPr>
          <w:rFonts w:ascii="Times New Roman" w:hAnsi="Times New Roman"/>
          <w:color w:val="000000"/>
          <w:sz w:val="28"/>
          <w:szCs w:val="28"/>
        </w:rPr>
        <w:t>. De exemplu, sintagma „valuta naţională” a fost înlocuită cu sintagma „moneda naţională”, sintagmele „valuta” sau „valuta legitimă” au fost înlocuite cu sintagma „valuta străină”, sintagma „bilete bancare” a fost înlocuită cu sintagma „bancnote”, sintagmele „cursul de schimb al Băncii Naţionale a Moldovei” sau „cursul stabilit de Banca Naţională a Moldovei” - cu sintagma „cursul oficial al leului moldovenesc” ş.a.</w:t>
      </w:r>
    </w:p>
    <w:p w:rsidR="00DD4B54" w:rsidRPr="00DD4B54" w:rsidRDefault="00DD4B54" w:rsidP="00DD4B54">
      <w:pPr>
        <w:spacing w:after="0" w:line="360" w:lineRule="auto"/>
        <w:ind w:firstLine="708"/>
        <w:jc w:val="both"/>
        <w:rPr>
          <w:rFonts w:ascii="Times New Roman" w:hAnsi="Times New Roman"/>
          <w:sz w:val="28"/>
          <w:szCs w:val="28"/>
        </w:rPr>
      </w:pPr>
      <w:r w:rsidRPr="00DD4B54">
        <w:rPr>
          <w:rFonts w:ascii="Times New Roman" w:hAnsi="Times New Roman"/>
          <w:color w:val="000000"/>
          <w:sz w:val="28"/>
          <w:szCs w:val="28"/>
        </w:rPr>
        <w:t xml:space="preserve">Mai mult ca atît, au fost specificate cazurile efectuării pe teritoriul Republicii Moldova a </w:t>
      </w:r>
      <w:r w:rsidRPr="00DD4B54">
        <w:rPr>
          <w:rFonts w:ascii="Times New Roman" w:hAnsi="Times New Roman"/>
          <w:sz w:val="28"/>
          <w:szCs w:val="28"/>
        </w:rPr>
        <w:t xml:space="preserve">plăţilor/transferurilor atît în monedă naţională, cît şi în valută străină între rezidenţi, între rezidenţi şi nerezidenţi, precum şi între nerezidenţi, cazurile </w:t>
      </w:r>
      <w:r w:rsidRPr="00DD4B54">
        <w:rPr>
          <w:rFonts w:ascii="Times New Roman" w:hAnsi="Times New Roman"/>
          <w:color w:val="000000"/>
          <w:sz w:val="28"/>
          <w:szCs w:val="28"/>
        </w:rPr>
        <w:t>în care rezidenţii şi nerezidenţii au dreptul de a efectua operaţiuni valutare în numerar sau cu utilizarea instrumentelor de plată.</w:t>
      </w:r>
    </w:p>
    <w:p w:rsidR="00DD4B54" w:rsidRPr="00DD4B54" w:rsidRDefault="00DD4B54" w:rsidP="00DD4B54">
      <w:pPr>
        <w:spacing w:after="0" w:line="360" w:lineRule="auto"/>
        <w:ind w:firstLine="708"/>
        <w:jc w:val="both"/>
        <w:rPr>
          <w:rFonts w:ascii="Times New Roman" w:hAnsi="Times New Roman"/>
          <w:sz w:val="28"/>
          <w:szCs w:val="28"/>
        </w:rPr>
      </w:pPr>
      <w:r w:rsidRPr="00DD4B54">
        <w:rPr>
          <w:rFonts w:ascii="Times New Roman" w:hAnsi="Times New Roman"/>
          <w:sz w:val="28"/>
          <w:szCs w:val="28"/>
        </w:rPr>
        <w:t>În acest context, în scopul aducerii în concordanţă a unor acte normative ale Guvernului, care au tangență cu domeniul valutar, cu Legea nr.33 din 6 martie 2012, se propune efectuarea modificărilor și completărilor conform anexei la proiectul de hotărîre a Guvernului. Majoritatea modificărilor și completărilor propuse un caracter redacțional, în special asigurarea utilizării corectă a terminologiei aferente domeniului valutar.</w:t>
      </w:r>
    </w:p>
    <w:p w:rsidR="00DD4B54" w:rsidRDefault="00DD4B54" w:rsidP="00DD4B54">
      <w:pPr>
        <w:spacing w:after="0" w:line="360" w:lineRule="auto"/>
        <w:ind w:firstLine="708"/>
        <w:jc w:val="both"/>
        <w:rPr>
          <w:rFonts w:ascii="Times New Roman" w:hAnsi="Times New Roman"/>
          <w:sz w:val="28"/>
          <w:szCs w:val="28"/>
        </w:rPr>
      </w:pPr>
      <w:r w:rsidRPr="00DD4B54">
        <w:rPr>
          <w:rFonts w:ascii="Times New Roman" w:hAnsi="Times New Roman"/>
          <w:sz w:val="28"/>
          <w:szCs w:val="28"/>
        </w:rPr>
        <w:t>E de menționat, că în</w:t>
      </w:r>
      <w:r w:rsidRPr="003F1368">
        <w:rPr>
          <w:rFonts w:ascii="Times New Roman" w:hAnsi="Times New Roman"/>
          <w:sz w:val="28"/>
          <w:szCs w:val="28"/>
        </w:rPr>
        <w:t xml:space="preserve"> proiectul hotărîrii menționate nu sînt incluse modificările la Hotărîrea Guvernului nr.603 din 02 iulie 1997 „Despre aprobarea </w:t>
      </w:r>
      <w:r w:rsidRPr="003F1368">
        <w:rPr>
          <w:rFonts w:ascii="Times New Roman" w:hAnsi="Times New Roman"/>
          <w:sz w:val="28"/>
          <w:szCs w:val="28"/>
        </w:rPr>
        <w:lastRenderedPageBreak/>
        <w:t>Regulamentului privind formarea prețurilor la medicamente și alte produse farmaceutice și parafarmaceutice” și Hotărîrea Guvernului nr.525 din 22 iunie 2010 „Pentru aprobarea Regulamentului cu privire la modul de aprobare şi înregistrare a preţurilor de producător la medicamente”. Conform informației prezentate, Ministerul Sănătății va propune modificările respective de sine stătător, inclusiv și ajustarea la modificările propuse la Legea nr.1456-XII din 25 mai 1993 cu privire la activitatea farmaceutică.</w:t>
      </w:r>
    </w:p>
    <w:p w:rsidR="00DD4B54" w:rsidRPr="000D1E03" w:rsidRDefault="00DD4B54" w:rsidP="00DD4B54">
      <w:pPr>
        <w:spacing w:after="0" w:line="360" w:lineRule="auto"/>
        <w:ind w:firstLine="708"/>
        <w:jc w:val="both"/>
        <w:rPr>
          <w:rFonts w:ascii="Times New Roman" w:hAnsi="Times New Roman"/>
          <w:sz w:val="10"/>
          <w:szCs w:val="10"/>
        </w:rPr>
      </w:pPr>
    </w:p>
    <w:p w:rsidR="00DD4B54" w:rsidRDefault="00DD4B54" w:rsidP="00DD4B54">
      <w:pPr>
        <w:spacing w:after="0" w:line="360" w:lineRule="auto"/>
        <w:jc w:val="both"/>
        <w:rPr>
          <w:sz w:val="28"/>
          <w:szCs w:val="28"/>
        </w:rPr>
      </w:pPr>
      <w:r w:rsidRPr="003F1368">
        <w:rPr>
          <w:rFonts w:ascii="Times New Roman" w:hAnsi="Times New Roman"/>
          <w:sz w:val="28"/>
          <w:szCs w:val="28"/>
        </w:rPr>
        <w:tab/>
        <w:t xml:space="preserve">În scopul asigurării transparenţei procesului decizional proiectul </w:t>
      </w:r>
      <w:r w:rsidRPr="003F1368">
        <w:rPr>
          <w:rFonts w:ascii="Times New Roman" w:hAnsi="Times New Roman"/>
          <w:bCs/>
          <w:sz w:val="28"/>
          <w:szCs w:val="28"/>
          <w:lang w:eastAsia="ru-RU"/>
        </w:rPr>
        <w:t xml:space="preserve">de hotărîre a Guvernului </w:t>
      </w:r>
      <w:r w:rsidRPr="003F1368">
        <w:rPr>
          <w:rFonts w:ascii="Times New Roman" w:hAnsi="Times New Roman"/>
          <w:sz w:val="28"/>
          <w:szCs w:val="28"/>
        </w:rPr>
        <w:t>„Cu privire la aprobarea modificărilor şi completărilor ce se operează în unele hotărîri ale Guvernului”</w:t>
      </w:r>
      <w:r w:rsidRPr="003F1368">
        <w:rPr>
          <w:rFonts w:ascii="Times New Roman" w:hAnsi="Times New Roman"/>
          <w:sz w:val="28"/>
        </w:rPr>
        <w:t xml:space="preserve">, prin scrisoarea Ministerului Finanțelor nr.06/4-17/40 din 03 septembrie 2012, </w:t>
      </w:r>
      <w:r w:rsidRPr="003F1368">
        <w:rPr>
          <w:rFonts w:ascii="Times New Roman" w:hAnsi="Times New Roman"/>
          <w:sz w:val="28"/>
          <w:szCs w:val="28"/>
        </w:rPr>
        <w:t xml:space="preserve">a fost transmis spre avizare părților interesate. Propunerile şi obiecţiile instituţiilor interesate au fost luate în considerare la definitivarea proiectului în cauză (lista instituțiilor, copiile și sinteza propunerilor și obiecțiilor prezentate </w:t>
      </w:r>
      <w:r w:rsidRPr="003F1368">
        <w:rPr>
          <w:rFonts w:ascii="Times New Roman" w:hAnsi="Times New Roman"/>
          <w:sz w:val="28"/>
        </w:rPr>
        <w:t xml:space="preserve">privind consultarea proiectului </w:t>
      </w:r>
      <w:r w:rsidRPr="003F1368">
        <w:rPr>
          <w:rFonts w:ascii="Times New Roman" w:hAnsi="Times New Roman"/>
          <w:sz w:val="28"/>
          <w:szCs w:val="28"/>
        </w:rPr>
        <w:t xml:space="preserve">se anexează pe </w:t>
      </w:r>
      <w:r w:rsidR="00A06F49">
        <w:rPr>
          <w:rFonts w:ascii="Times New Roman" w:hAnsi="Times New Roman"/>
          <w:sz w:val="28"/>
          <w:szCs w:val="28"/>
        </w:rPr>
        <w:t>55</w:t>
      </w:r>
      <w:r w:rsidRPr="003F1368">
        <w:rPr>
          <w:rFonts w:ascii="Times New Roman" w:hAnsi="Times New Roman"/>
          <w:sz w:val="28"/>
          <w:szCs w:val="28"/>
        </w:rPr>
        <w:t xml:space="preserve"> foi).</w:t>
      </w:r>
      <w:r w:rsidRPr="003F1368">
        <w:rPr>
          <w:sz w:val="28"/>
          <w:szCs w:val="28"/>
        </w:rPr>
        <w:t xml:space="preserve"> </w:t>
      </w:r>
    </w:p>
    <w:p w:rsidR="00DD4B54" w:rsidRPr="000D1E03" w:rsidRDefault="00DD4B54" w:rsidP="00DD4B54">
      <w:pPr>
        <w:spacing w:after="0" w:line="360" w:lineRule="auto"/>
        <w:jc w:val="both"/>
        <w:rPr>
          <w:rFonts w:ascii="Times New Roman" w:hAnsi="Times New Roman"/>
          <w:sz w:val="10"/>
          <w:szCs w:val="10"/>
        </w:rPr>
      </w:pPr>
    </w:p>
    <w:p w:rsidR="00DD4B54" w:rsidRPr="003F1368" w:rsidRDefault="00DD4B54" w:rsidP="00DD4B54">
      <w:pPr>
        <w:pStyle w:val="a3"/>
        <w:spacing w:line="360" w:lineRule="auto"/>
        <w:ind w:firstLine="709"/>
        <w:rPr>
          <w:sz w:val="28"/>
          <w:szCs w:val="28"/>
          <w:lang w:val="ro-RO"/>
        </w:rPr>
      </w:pPr>
      <w:r w:rsidRPr="003F1368">
        <w:rPr>
          <w:sz w:val="28"/>
          <w:szCs w:val="28"/>
          <w:lang w:val="ro-RO"/>
        </w:rPr>
        <w:t xml:space="preserve">Concomitent informăm că, </w:t>
      </w:r>
      <w:r w:rsidRPr="003F1368">
        <w:rPr>
          <w:sz w:val="28"/>
          <w:lang w:val="ro-RO"/>
        </w:rPr>
        <w:t xml:space="preserve">întru respectarea cerinţelor legislaţiei în vigoare a Republicii Moldova, </w:t>
      </w:r>
      <w:r w:rsidRPr="003F1368">
        <w:rPr>
          <w:sz w:val="28"/>
          <w:szCs w:val="28"/>
          <w:lang w:val="ro-RO"/>
        </w:rPr>
        <w:t xml:space="preserve">Banca Națională a Moldovei (în calitate de autor) </w:t>
      </w:r>
      <w:r w:rsidRPr="003F1368">
        <w:rPr>
          <w:sz w:val="28"/>
          <w:lang w:val="ro-RO"/>
        </w:rPr>
        <w:t>a prezentat Centrului pentru Combaterea Crimelor Economice şi Corupţiei</w:t>
      </w:r>
      <w:r w:rsidRPr="003F1368">
        <w:rPr>
          <w:sz w:val="28"/>
          <w:szCs w:val="28"/>
          <w:lang w:val="ro-RO"/>
        </w:rPr>
        <w:t xml:space="preserve"> proiectul de lege pentru modificarea şi completarea unor acte legislative (ulterior adoptat de Parlament - Legea nr.33 din 06 martie 2012) pentru </w:t>
      </w:r>
      <w:r w:rsidRPr="003F1368">
        <w:rPr>
          <w:sz w:val="28"/>
          <w:lang w:val="ro-RO"/>
        </w:rPr>
        <w:t xml:space="preserve">efectuarea expertizei anticorupţie. Raportul de expertiză asupra nivelului coruptibilităţii proiectului de lege pentru modificarea şi completarea unor acte legislative a fost remis prin scrisoarea nr.17/3811 din 16.09.2010. Dat fiind faptul că proiectul de hotărîre menționat este elaborat în conformitate strictă cu prevederile </w:t>
      </w:r>
      <w:r w:rsidRPr="003F1368">
        <w:rPr>
          <w:sz w:val="28"/>
          <w:szCs w:val="28"/>
          <w:lang w:val="ro-RO"/>
        </w:rPr>
        <w:t xml:space="preserve">Legii nr.33 din 06 martie 2012, </w:t>
      </w:r>
      <w:r w:rsidRPr="003F1368">
        <w:rPr>
          <w:sz w:val="28"/>
          <w:lang w:val="ro-RO"/>
        </w:rPr>
        <w:t>supunerea proiectului dat expertizei anticorupţie</w:t>
      </w:r>
      <w:r>
        <w:rPr>
          <w:sz w:val="28"/>
          <w:lang w:val="ro-RO"/>
        </w:rPr>
        <w:t xml:space="preserve"> este</w:t>
      </w:r>
      <w:r w:rsidRPr="003F1368">
        <w:rPr>
          <w:sz w:val="28"/>
          <w:lang w:val="ro-RO"/>
        </w:rPr>
        <w:t xml:space="preserve"> inoportun</w:t>
      </w:r>
      <w:r>
        <w:rPr>
          <w:sz w:val="28"/>
          <w:lang w:val="ro-RO"/>
        </w:rPr>
        <w:t>ă.</w:t>
      </w:r>
    </w:p>
    <w:p w:rsidR="00DD4B54" w:rsidRPr="003F1368" w:rsidRDefault="00DD4B54" w:rsidP="00DD4B54">
      <w:pPr>
        <w:ind w:firstLine="708"/>
        <w:jc w:val="right"/>
        <w:rPr>
          <w:rFonts w:ascii="Times New Roman" w:hAnsi="Times New Roman"/>
          <w:b/>
          <w:sz w:val="28"/>
          <w:szCs w:val="28"/>
        </w:rPr>
      </w:pPr>
    </w:p>
    <w:p w:rsidR="00DD4B54" w:rsidRDefault="00DD4B54" w:rsidP="00DD4B54">
      <w:pPr>
        <w:ind w:firstLine="708"/>
        <w:jc w:val="right"/>
        <w:rPr>
          <w:rFonts w:ascii="Times New Roman" w:hAnsi="Times New Roman"/>
          <w:b/>
          <w:sz w:val="28"/>
          <w:szCs w:val="28"/>
        </w:rPr>
      </w:pPr>
      <w:r>
        <w:rPr>
          <w:rFonts w:ascii="Times New Roman" w:hAnsi="Times New Roman"/>
          <w:b/>
          <w:sz w:val="28"/>
          <w:szCs w:val="28"/>
        </w:rPr>
        <w:t>M</w:t>
      </w:r>
      <w:r w:rsidRPr="003F1368">
        <w:rPr>
          <w:rFonts w:ascii="Times New Roman" w:hAnsi="Times New Roman"/>
          <w:b/>
          <w:sz w:val="28"/>
          <w:szCs w:val="28"/>
        </w:rPr>
        <w:t>inistru</w:t>
      </w:r>
    </w:p>
    <w:p w:rsidR="00DD4B54" w:rsidRPr="003F1368" w:rsidRDefault="00DD4B54" w:rsidP="00DD4B54">
      <w:pPr>
        <w:ind w:firstLine="708"/>
        <w:jc w:val="right"/>
        <w:rPr>
          <w:rFonts w:ascii="Times New Roman" w:hAnsi="Times New Roman"/>
          <w:b/>
          <w:sz w:val="28"/>
          <w:szCs w:val="28"/>
        </w:rPr>
      </w:pPr>
    </w:p>
    <w:p w:rsidR="00DD4B54" w:rsidRPr="003F1368" w:rsidRDefault="00DD4B54" w:rsidP="00DD4B54">
      <w:pPr>
        <w:ind w:firstLine="708"/>
        <w:jc w:val="right"/>
      </w:pPr>
      <w:r w:rsidRPr="003F1368">
        <w:rPr>
          <w:rFonts w:ascii="Times New Roman" w:hAnsi="Times New Roman"/>
          <w:b/>
          <w:sz w:val="28"/>
          <w:szCs w:val="28"/>
        </w:rPr>
        <w:tab/>
      </w:r>
      <w:r w:rsidRPr="003F1368">
        <w:rPr>
          <w:rFonts w:ascii="Times New Roman" w:hAnsi="Times New Roman"/>
          <w:b/>
          <w:sz w:val="28"/>
          <w:szCs w:val="28"/>
        </w:rPr>
        <w:tab/>
      </w:r>
      <w:r w:rsidRPr="003F1368">
        <w:rPr>
          <w:rFonts w:ascii="Times New Roman" w:hAnsi="Times New Roman"/>
          <w:b/>
          <w:sz w:val="28"/>
          <w:szCs w:val="28"/>
        </w:rPr>
        <w:tab/>
      </w:r>
      <w:r w:rsidRPr="003F1368">
        <w:rPr>
          <w:rFonts w:ascii="Times New Roman" w:hAnsi="Times New Roman"/>
          <w:b/>
          <w:sz w:val="28"/>
          <w:szCs w:val="28"/>
        </w:rPr>
        <w:tab/>
      </w:r>
      <w:r w:rsidRPr="003F1368">
        <w:rPr>
          <w:rFonts w:ascii="Times New Roman" w:hAnsi="Times New Roman"/>
          <w:b/>
          <w:sz w:val="28"/>
          <w:szCs w:val="28"/>
        </w:rPr>
        <w:tab/>
      </w:r>
      <w:r w:rsidRPr="003F1368">
        <w:rPr>
          <w:rFonts w:ascii="Times New Roman" w:hAnsi="Times New Roman"/>
          <w:b/>
          <w:sz w:val="28"/>
          <w:szCs w:val="28"/>
        </w:rPr>
        <w:tab/>
      </w:r>
      <w:r w:rsidRPr="003F1368">
        <w:rPr>
          <w:rFonts w:ascii="Times New Roman" w:hAnsi="Times New Roman"/>
          <w:b/>
          <w:sz w:val="28"/>
          <w:szCs w:val="28"/>
        </w:rPr>
        <w:tab/>
      </w:r>
      <w:r w:rsidRPr="003F1368">
        <w:rPr>
          <w:rFonts w:ascii="Times New Roman" w:hAnsi="Times New Roman"/>
          <w:b/>
          <w:sz w:val="28"/>
          <w:szCs w:val="28"/>
        </w:rPr>
        <w:tab/>
      </w:r>
      <w:r>
        <w:rPr>
          <w:rFonts w:ascii="Times New Roman" w:hAnsi="Times New Roman"/>
          <w:b/>
          <w:sz w:val="28"/>
          <w:szCs w:val="28"/>
        </w:rPr>
        <w:t>Veaceslav Negruța</w:t>
      </w:r>
    </w:p>
    <w:p w:rsidR="00CE76B7" w:rsidRPr="003F1368" w:rsidRDefault="00CE76B7" w:rsidP="000D1E03">
      <w:pPr>
        <w:ind w:firstLine="708"/>
        <w:jc w:val="right"/>
      </w:pPr>
    </w:p>
    <w:sectPr w:rsidR="00CE76B7" w:rsidRPr="003F1368" w:rsidSect="00926F7A">
      <w:footerReference w:type="default" r:id="rId6"/>
      <w:pgSz w:w="11906" w:h="16838"/>
      <w:pgMar w:top="993"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879" w:rsidRDefault="00F01879" w:rsidP="000D1E03">
      <w:pPr>
        <w:spacing w:after="0" w:line="240" w:lineRule="auto"/>
      </w:pPr>
      <w:r>
        <w:separator/>
      </w:r>
    </w:p>
  </w:endnote>
  <w:endnote w:type="continuationSeparator" w:id="1">
    <w:p w:rsidR="00F01879" w:rsidRDefault="00F01879" w:rsidP="000D1E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5025"/>
      <w:docPartObj>
        <w:docPartGallery w:val="Page Numbers (Bottom of Page)"/>
        <w:docPartUnique/>
      </w:docPartObj>
    </w:sdtPr>
    <w:sdtContent>
      <w:p w:rsidR="000D1E03" w:rsidRDefault="0065626F">
        <w:pPr>
          <w:pStyle w:val="a7"/>
          <w:jc w:val="right"/>
        </w:pPr>
        <w:fldSimple w:instr=" PAGE   \* MERGEFORMAT ">
          <w:r w:rsidR="00A06F49">
            <w:rPr>
              <w:noProof/>
            </w:rPr>
            <w:t>2</w:t>
          </w:r>
        </w:fldSimple>
      </w:p>
    </w:sdtContent>
  </w:sdt>
  <w:p w:rsidR="000D1E03" w:rsidRDefault="000D1E0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879" w:rsidRDefault="00F01879" w:rsidP="000D1E03">
      <w:pPr>
        <w:spacing w:after="0" w:line="240" w:lineRule="auto"/>
      </w:pPr>
      <w:r>
        <w:separator/>
      </w:r>
    </w:p>
  </w:footnote>
  <w:footnote w:type="continuationSeparator" w:id="1">
    <w:p w:rsidR="00F01879" w:rsidRDefault="00F01879" w:rsidP="000D1E0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CE76B7"/>
    <w:rsid w:val="0000660B"/>
    <w:rsid w:val="000278F9"/>
    <w:rsid w:val="000D1E03"/>
    <w:rsid w:val="000E2E4F"/>
    <w:rsid w:val="000E4711"/>
    <w:rsid w:val="000E79BD"/>
    <w:rsid w:val="000F7A95"/>
    <w:rsid w:val="00135B1F"/>
    <w:rsid w:val="0015255B"/>
    <w:rsid w:val="00162A0E"/>
    <w:rsid w:val="001955DD"/>
    <w:rsid w:val="001978F8"/>
    <w:rsid w:val="001D06CE"/>
    <w:rsid w:val="001E089A"/>
    <w:rsid w:val="001E0E49"/>
    <w:rsid w:val="001F1E02"/>
    <w:rsid w:val="002009F6"/>
    <w:rsid w:val="002250A7"/>
    <w:rsid w:val="002728EC"/>
    <w:rsid w:val="00274336"/>
    <w:rsid w:val="0027744A"/>
    <w:rsid w:val="002A465D"/>
    <w:rsid w:val="002B110F"/>
    <w:rsid w:val="002B71AE"/>
    <w:rsid w:val="002B72FF"/>
    <w:rsid w:val="002D1EE5"/>
    <w:rsid w:val="002F1059"/>
    <w:rsid w:val="002F684B"/>
    <w:rsid w:val="00317AB1"/>
    <w:rsid w:val="00356749"/>
    <w:rsid w:val="00357FDD"/>
    <w:rsid w:val="00362D20"/>
    <w:rsid w:val="00365E04"/>
    <w:rsid w:val="003C1718"/>
    <w:rsid w:val="003C7144"/>
    <w:rsid w:val="003D04B3"/>
    <w:rsid w:val="003F1368"/>
    <w:rsid w:val="003F5723"/>
    <w:rsid w:val="003F664F"/>
    <w:rsid w:val="00406785"/>
    <w:rsid w:val="00422634"/>
    <w:rsid w:val="00455D65"/>
    <w:rsid w:val="00484666"/>
    <w:rsid w:val="00492AD2"/>
    <w:rsid w:val="004A5C3D"/>
    <w:rsid w:val="005108AB"/>
    <w:rsid w:val="00552186"/>
    <w:rsid w:val="00555B83"/>
    <w:rsid w:val="005A6B6F"/>
    <w:rsid w:val="005B27C2"/>
    <w:rsid w:val="005B7AF9"/>
    <w:rsid w:val="005E0E41"/>
    <w:rsid w:val="005F06E1"/>
    <w:rsid w:val="006406F0"/>
    <w:rsid w:val="0065626F"/>
    <w:rsid w:val="006737EB"/>
    <w:rsid w:val="00675B32"/>
    <w:rsid w:val="006C2468"/>
    <w:rsid w:val="006E47F2"/>
    <w:rsid w:val="006E7963"/>
    <w:rsid w:val="006F15F7"/>
    <w:rsid w:val="007005CB"/>
    <w:rsid w:val="007161EA"/>
    <w:rsid w:val="007458A1"/>
    <w:rsid w:val="007508BE"/>
    <w:rsid w:val="00751D4E"/>
    <w:rsid w:val="007556BB"/>
    <w:rsid w:val="00766CC3"/>
    <w:rsid w:val="007C0B3D"/>
    <w:rsid w:val="007C2132"/>
    <w:rsid w:val="007F24C1"/>
    <w:rsid w:val="00813C4C"/>
    <w:rsid w:val="008217A9"/>
    <w:rsid w:val="00832A4C"/>
    <w:rsid w:val="00837B01"/>
    <w:rsid w:val="0086661B"/>
    <w:rsid w:val="00876D15"/>
    <w:rsid w:val="00881F6A"/>
    <w:rsid w:val="008826F7"/>
    <w:rsid w:val="008930D5"/>
    <w:rsid w:val="008B5C23"/>
    <w:rsid w:val="008B5E77"/>
    <w:rsid w:val="008E1089"/>
    <w:rsid w:val="008E3E7F"/>
    <w:rsid w:val="008F5776"/>
    <w:rsid w:val="00901662"/>
    <w:rsid w:val="00901AEE"/>
    <w:rsid w:val="009027C9"/>
    <w:rsid w:val="00926F7A"/>
    <w:rsid w:val="00943A79"/>
    <w:rsid w:val="0095745F"/>
    <w:rsid w:val="00957C45"/>
    <w:rsid w:val="0096597D"/>
    <w:rsid w:val="00966DC8"/>
    <w:rsid w:val="009B35E6"/>
    <w:rsid w:val="009C12E2"/>
    <w:rsid w:val="009D200F"/>
    <w:rsid w:val="009E3589"/>
    <w:rsid w:val="009F173D"/>
    <w:rsid w:val="009F6F3A"/>
    <w:rsid w:val="00A0331D"/>
    <w:rsid w:val="00A06F49"/>
    <w:rsid w:val="00A14A98"/>
    <w:rsid w:val="00A401B8"/>
    <w:rsid w:val="00A55754"/>
    <w:rsid w:val="00AA5394"/>
    <w:rsid w:val="00AA687D"/>
    <w:rsid w:val="00AD0F01"/>
    <w:rsid w:val="00AF6A6A"/>
    <w:rsid w:val="00B1535C"/>
    <w:rsid w:val="00B3309E"/>
    <w:rsid w:val="00B76186"/>
    <w:rsid w:val="00B90B84"/>
    <w:rsid w:val="00BD0446"/>
    <w:rsid w:val="00BF038F"/>
    <w:rsid w:val="00C2555C"/>
    <w:rsid w:val="00C54D5B"/>
    <w:rsid w:val="00C74BE4"/>
    <w:rsid w:val="00C93BB4"/>
    <w:rsid w:val="00CE00DD"/>
    <w:rsid w:val="00CE76B7"/>
    <w:rsid w:val="00D1606B"/>
    <w:rsid w:val="00D20E19"/>
    <w:rsid w:val="00D266D2"/>
    <w:rsid w:val="00D60AB4"/>
    <w:rsid w:val="00DC24FA"/>
    <w:rsid w:val="00DD162F"/>
    <w:rsid w:val="00DD44D5"/>
    <w:rsid w:val="00DD4B54"/>
    <w:rsid w:val="00DE3451"/>
    <w:rsid w:val="00DF14EE"/>
    <w:rsid w:val="00DF70C8"/>
    <w:rsid w:val="00E05D33"/>
    <w:rsid w:val="00E13143"/>
    <w:rsid w:val="00E22F1C"/>
    <w:rsid w:val="00E23AE6"/>
    <w:rsid w:val="00E51C5F"/>
    <w:rsid w:val="00E808E0"/>
    <w:rsid w:val="00E86192"/>
    <w:rsid w:val="00F01879"/>
    <w:rsid w:val="00F076C7"/>
    <w:rsid w:val="00FA5809"/>
    <w:rsid w:val="00FB5E4D"/>
    <w:rsid w:val="00FC10E6"/>
    <w:rsid w:val="00FD3EC5"/>
    <w:rsid w:val="00FD7C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B54"/>
    <w:rPr>
      <w:rFonts w:ascii="Calibri" w:eastAsia="Calibri"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webb,webb"/>
    <w:basedOn w:val="a"/>
    <w:link w:val="a4"/>
    <w:uiPriority w:val="99"/>
    <w:rsid w:val="00CE76B7"/>
    <w:pPr>
      <w:spacing w:after="0" w:line="240" w:lineRule="auto"/>
      <w:ind w:firstLine="567"/>
      <w:jc w:val="both"/>
    </w:pPr>
    <w:rPr>
      <w:rFonts w:ascii="Times New Roman" w:eastAsia="Times New Roman" w:hAnsi="Times New Roman"/>
      <w:sz w:val="24"/>
      <w:szCs w:val="24"/>
      <w:lang w:val="ru-RU" w:eastAsia="ru-RU"/>
    </w:rPr>
  </w:style>
  <w:style w:type="character" w:customStyle="1" w:styleId="a4">
    <w:name w:val="Обычный (веб) Знак"/>
    <w:aliases w:val=" webb Знак,webb Знак"/>
    <w:basedOn w:val="a0"/>
    <w:link w:val="a3"/>
    <w:uiPriority w:val="99"/>
    <w:rsid w:val="00CE76B7"/>
    <w:rPr>
      <w:rFonts w:ascii="Times New Roman" w:eastAsia="Times New Roman" w:hAnsi="Times New Roman" w:cs="Times New Roman"/>
      <w:sz w:val="24"/>
      <w:szCs w:val="24"/>
      <w:lang w:eastAsia="ru-RU"/>
    </w:rPr>
  </w:style>
  <w:style w:type="paragraph" w:customStyle="1" w:styleId="cn">
    <w:name w:val="cn"/>
    <w:basedOn w:val="a"/>
    <w:rsid w:val="003C7144"/>
    <w:pPr>
      <w:spacing w:after="0" w:line="240" w:lineRule="auto"/>
      <w:jc w:val="center"/>
    </w:pPr>
    <w:rPr>
      <w:rFonts w:ascii="Times New Roman" w:eastAsia="Times New Roman" w:hAnsi="Times New Roman"/>
      <w:sz w:val="24"/>
      <w:szCs w:val="24"/>
      <w:lang w:val="ru-RU" w:eastAsia="ru-RU"/>
    </w:rPr>
  </w:style>
  <w:style w:type="paragraph" w:styleId="a5">
    <w:name w:val="header"/>
    <w:basedOn w:val="a"/>
    <w:link w:val="a6"/>
    <w:uiPriority w:val="99"/>
    <w:semiHidden/>
    <w:unhideWhenUsed/>
    <w:rsid w:val="000D1E03"/>
    <w:pPr>
      <w:tabs>
        <w:tab w:val="center" w:pos="4677"/>
        <w:tab w:val="right" w:pos="9355"/>
      </w:tabs>
      <w:spacing w:after="0" w:line="240" w:lineRule="auto"/>
    </w:pPr>
    <w:rPr>
      <w:rFonts w:asciiTheme="minorHAnsi" w:eastAsiaTheme="minorHAnsi" w:hAnsiTheme="minorHAnsi" w:cstheme="minorBidi"/>
    </w:rPr>
  </w:style>
  <w:style w:type="character" w:customStyle="1" w:styleId="a6">
    <w:name w:val="Верхний колонтитул Знак"/>
    <w:basedOn w:val="a0"/>
    <w:link w:val="a5"/>
    <w:uiPriority w:val="99"/>
    <w:semiHidden/>
    <w:rsid w:val="000D1E03"/>
    <w:rPr>
      <w:lang w:val="ro-RO"/>
    </w:rPr>
  </w:style>
  <w:style w:type="paragraph" w:styleId="a7">
    <w:name w:val="footer"/>
    <w:basedOn w:val="a"/>
    <w:link w:val="a8"/>
    <w:uiPriority w:val="99"/>
    <w:unhideWhenUsed/>
    <w:rsid w:val="000D1E03"/>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Нижний колонтитул Знак"/>
    <w:basedOn w:val="a0"/>
    <w:link w:val="a7"/>
    <w:uiPriority w:val="99"/>
    <w:rsid w:val="000D1E03"/>
    <w:rPr>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3439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Rotaru</dc:creator>
  <cp:lastModifiedBy>Nina Rotaru</cp:lastModifiedBy>
  <cp:revision>3</cp:revision>
  <cp:lastPrinted>2012-10-08T10:36:00Z</cp:lastPrinted>
  <dcterms:created xsi:type="dcterms:W3CDTF">2012-10-08T12:35:00Z</dcterms:created>
  <dcterms:modified xsi:type="dcterms:W3CDTF">2012-10-11T05:42:00Z</dcterms:modified>
</cp:coreProperties>
</file>