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9634" w:type="dxa"/>
        <w:tblLook w:val="04A0" w:firstRow="1" w:lastRow="0" w:firstColumn="1" w:lastColumn="0" w:noHBand="0" w:noVBand="1"/>
      </w:tblPr>
      <w:tblGrid>
        <w:gridCol w:w="2122"/>
        <w:gridCol w:w="4252"/>
        <w:gridCol w:w="3260"/>
      </w:tblGrid>
      <w:tr w:rsidR="007A6B91" w14:paraId="1155103B" w14:textId="77777777" w:rsidTr="007604F0">
        <w:trPr>
          <w:trHeight w:val="557"/>
        </w:trPr>
        <w:tc>
          <w:tcPr>
            <w:tcW w:w="2122" w:type="dxa"/>
          </w:tcPr>
          <w:p w14:paraId="6CA27307" w14:textId="534531DA" w:rsidR="007A6B91" w:rsidRPr="007604F0" w:rsidRDefault="007A6B91" w:rsidP="007A6B91">
            <w:pPr>
              <w:pStyle w:val="NormalWeb"/>
              <w:rPr>
                <w:rStyle w:val="Robust"/>
                <w:b w:val="0"/>
                <w:bCs w:val="0"/>
              </w:rPr>
            </w:pPr>
            <w:r>
              <w:rPr>
                <w:rStyle w:val="Robust"/>
                <w:rFonts w:eastAsiaTheme="majorEastAsia"/>
              </w:rPr>
              <w:t>Propunere de modificare:</w:t>
            </w:r>
          </w:p>
        </w:tc>
        <w:tc>
          <w:tcPr>
            <w:tcW w:w="4252" w:type="dxa"/>
          </w:tcPr>
          <w:p w14:paraId="2F23B5ED" w14:textId="37F299FA" w:rsidR="007A6B91" w:rsidRDefault="007A6B91" w:rsidP="007A6B91">
            <w:pPr>
              <w:pStyle w:val="NormalWeb"/>
              <w:rPr>
                <w:rStyle w:val="Robust"/>
                <w:rFonts w:eastAsiaTheme="majorEastAsia"/>
              </w:rPr>
            </w:pPr>
            <w:r>
              <w:rPr>
                <w:rStyle w:val="Robust"/>
                <w:rFonts w:eastAsiaTheme="majorEastAsia"/>
              </w:rPr>
              <w:t>Se propune reformularea astfel:</w:t>
            </w:r>
            <w:r>
              <w:br/>
            </w:r>
          </w:p>
        </w:tc>
        <w:tc>
          <w:tcPr>
            <w:tcW w:w="3260" w:type="dxa"/>
          </w:tcPr>
          <w:p w14:paraId="08070B9C" w14:textId="62845DAE" w:rsidR="007A6B91" w:rsidRDefault="007A6B91" w:rsidP="007A6B91">
            <w:pPr>
              <w:pStyle w:val="NormalWeb"/>
              <w:rPr>
                <w:rStyle w:val="Robust"/>
                <w:rFonts w:eastAsiaTheme="majorEastAsia"/>
              </w:rPr>
            </w:pPr>
            <w:r>
              <w:rPr>
                <w:rStyle w:val="Robust"/>
                <w:rFonts w:eastAsiaTheme="majorEastAsia"/>
              </w:rPr>
              <w:t>Argumentare:</w:t>
            </w:r>
          </w:p>
        </w:tc>
      </w:tr>
      <w:tr w:rsidR="007A6B91" w14:paraId="087A56A9" w14:textId="77777777" w:rsidTr="007604F0">
        <w:tc>
          <w:tcPr>
            <w:tcW w:w="2122" w:type="dxa"/>
          </w:tcPr>
          <w:p w14:paraId="11FFCA7E" w14:textId="77777777" w:rsidR="007A6B91" w:rsidRDefault="007A6B91" w:rsidP="007A6B91">
            <w:pPr>
              <w:pStyle w:val="NormalWeb"/>
            </w:pPr>
            <w:r>
              <w:t>Pct.62.4 Text actual:</w:t>
            </w:r>
            <w:r>
              <w:br/>
              <w:t>„...în funcție de domeniile stabilite”</w:t>
            </w:r>
          </w:p>
          <w:p w14:paraId="2DBFCA3E" w14:textId="77777777" w:rsidR="007A6B91" w:rsidRDefault="007A6B91" w:rsidP="007A6B91">
            <w:pPr>
              <w:pStyle w:val="NormalWeb"/>
              <w:rPr>
                <w:rStyle w:val="Robust"/>
                <w:rFonts w:eastAsiaTheme="majorEastAsia"/>
              </w:rPr>
            </w:pPr>
          </w:p>
        </w:tc>
        <w:tc>
          <w:tcPr>
            <w:tcW w:w="4252" w:type="dxa"/>
          </w:tcPr>
          <w:p w14:paraId="1E34F1AF" w14:textId="77777777" w:rsidR="007A6B91" w:rsidRDefault="007A6B91" w:rsidP="007A6B91">
            <w:pPr>
              <w:pStyle w:val="NormalWeb"/>
            </w:pPr>
            <w:r>
              <w:t>„...în funcție de domeniile stabilite prin decizia conducătorului instituției, în baza componentei strategice a Planului de dezvoltare (misiune, viziune și obiective strategice), cu consultarea personalului instituției și, după caz, a altor părți interesate relevante.”</w:t>
            </w:r>
          </w:p>
          <w:p w14:paraId="31BE810B" w14:textId="77777777" w:rsidR="007A6B91" w:rsidRDefault="007A6B91" w:rsidP="007A6B91">
            <w:pPr>
              <w:pStyle w:val="NormalWeb"/>
              <w:rPr>
                <w:rStyle w:val="Robust"/>
                <w:rFonts w:eastAsiaTheme="majorEastAsia"/>
              </w:rPr>
            </w:pPr>
          </w:p>
        </w:tc>
        <w:tc>
          <w:tcPr>
            <w:tcW w:w="3260" w:type="dxa"/>
          </w:tcPr>
          <w:p w14:paraId="746958A3" w14:textId="7FDB8942" w:rsidR="007A6B91" w:rsidRDefault="007A6B91" w:rsidP="007A6B91">
            <w:pPr>
              <w:pStyle w:val="NormalWeb"/>
              <w:rPr>
                <w:rStyle w:val="Robust"/>
                <w:rFonts w:eastAsiaTheme="majorEastAsia"/>
              </w:rPr>
            </w:pPr>
            <w:r>
              <w:t>Formularea actuală nu precizează cine stabilește domeniile și în baza căror criterii. Propunerea introduce claritate privind responsabilitatea decizională și asigură transparență prin includerea procesului de consultare și corelarea cu componenta strategică a planului.</w:t>
            </w:r>
          </w:p>
        </w:tc>
      </w:tr>
      <w:tr w:rsidR="007A6B91" w14:paraId="03D1AAC0" w14:textId="77777777" w:rsidTr="007604F0">
        <w:tc>
          <w:tcPr>
            <w:tcW w:w="2122" w:type="dxa"/>
          </w:tcPr>
          <w:p w14:paraId="139741C1" w14:textId="77777777" w:rsidR="007A6B91" w:rsidRDefault="007A6B91" w:rsidP="007A6B91">
            <w:pPr>
              <w:pStyle w:val="NormalWeb"/>
            </w:pPr>
            <w:r>
              <w:t>După punctul 153 (sau ca alineat nou), se introduce un nou punct cu următorul cuprins:</w:t>
            </w:r>
          </w:p>
          <w:p w14:paraId="70B671B8" w14:textId="77777777" w:rsidR="007A6B91" w:rsidRDefault="007A6B91" w:rsidP="007A6B91">
            <w:pPr>
              <w:pStyle w:val="NormalWeb"/>
            </w:pPr>
          </w:p>
        </w:tc>
        <w:tc>
          <w:tcPr>
            <w:tcW w:w="4252" w:type="dxa"/>
          </w:tcPr>
          <w:p w14:paraId="02C79E26" w14:textId="77777777" w:rsidR="007A6B91" w:rsidRDefault="007A6B91" w:rsidP="007A6B91">
            <w:pPr>
              <w:pStyle w:val="NormalWeb"/>
            </w:pPr>
            <w:r>
              <w:t>„Ședințele Consiliului de administrație se pot desfășura, după caz, în format fizic, hibrid sau online, prin utilizarea mijloacelor electronice de comunicare (inclusiv videoconferință), cu asigurarea participării efective a membrilor și a respectării cerințelor de cvorum, deliberare și vot, conform unei proceduri aprobate la nivelul instituției.”</w:t>
            </w:r>
          </w:p>
          <w:p w14:paraId="22359BA1" w14:textId="77777777" w:rsidR="007A6B91" w:rsidRDefault="007A6B91" w:rsidP="007A6B91">
            <w:pPr>
              <w:pStyle w:val="NormalWeb"/>
            </w:pPr>
          </w:p>
        </w:tc>
        <w:tc>
          <w:tcPr>
            <w:tcW w:w="3260" w:type="dxa"/>
          </w:tcPr>
          <w:p w14:paraId="7DA025A8" w14:textId="4447E56A" w:rsidR="007A6B91" w:rsidRDefault="007A6B91" w:rsidP="007A6B91">
            <w:pPr>
              <w:pStyle w:val="NormalWeb"/>
            </w:pPr>
            <w:r>
              <w:t>Reglementarea actuală nu prevede posibilitatea desfășurării ședințelor în format online, deși Consiliul de administrație include membri din afara instituției (părinți, reprezentanți ai autorităților publice locale), pentru care participarea fizică poate fi dificilă. Introducerea acestei prevederi asigură flexibilitate, crește participarea și eficiența procesului decizional, aliniindu-se practicilor moderne de lucru.</w:t>
            </w:r>
          </w:p>
        </w:tc>
      </w:tr>
      <w:tr w:rsidR="007A6B91" w14:paraId="7009B028" w14:textId="77777777" w:rsidTr="007604F0">
        <w:tc>
          <w:tcPr>
            <w:tcW w:w="2122" w:type="dxa"/>
          </w:tcPr>
          <w:p w14:paraId="38C524C2" w14:textId="1B3617D3" w:rsidR="007A6B91" w:rsidRDefault="007A6B91" w:rsidP="007A6B91">
            <w:pPr>
              <w:pStyle w:val="NormalWeb"/>
            </w:pPr>
            <w:r>
              <w:t xml:space="preserve">Pct.181 </w:t>
            </w:r>
            <w:r>
              <w:t>Text actual:</w:t>
            </w:r>
            <w:r>
              <w:br/>
              <w:t>„...în unitățile cu un număr redus de angajați (mai puțin de 12), atribuțiile organelor consultative se comasează...”</w:t>
            </w:r>
          </w:p>
          <w:p w14:paraId="350A39C0" w14:textId="77777777" w:rsidR="007A6B91" w:rsidRDefault="007A6B91" w:rsidP="007A6B91">
            <w:pPr>
              <w:pStyle w:val="NormalWeb"/>
            </w:pPr>
          </w:p>
        </w:tc>
        <w:tc>
          <w:tcPr>
            <w:tcW w:w="4252" w:type="dxa"/>
          </w:tcPr>
          <w:p w14:paraId="17D342C0" w14:textId="0DC91D52" w:rsidR="007A6B91" w:rsidRDefault="007A6B91" w:rsidP="007A6B91">
            <w:pPr>
              <w:pStyle w:val="NormalWeb"/>
            </w:pPr>
            <w:r>
              <w:t>„În unitățile cu un număr redus de cadre didactice, atribuțiile organelor consultative pot fi comasate parțial, cu respectarea principiului distribuirii echilibrate a sarcinilor și evitării supraîncărcării personalului didactic implicat direct în activitatea cu copiii.</w:t>
            </w:r>
            <w:r>
              <w:t xml:space="preserve"> </w:t>
            </w:r>
            <w:r>
              <w:t>Numărul și componența comisiilor se stabilesc astfel încât fiecare cadru didactic să fie implicat, de regulă, în cel mult o comisie permanentă, iar atribuțiile administrative să fie repartizate între membrii instituției, fără a fi concentrate exclusiv la nivelul conducerii.”</w:t>
            </w:r>
          </w:p>
          <w:p w14:paraId="64564454" w14:textId="1EB48117" w:rsidR="007A6B91" w:rsidRDefault="007A6B91" w:rsidP="007A6B91">
            <w:pPr>
              <w:pStyle w:val="NormalWeb"/>
            </w:pPr>
          </w:p>
        </w:tc>
        <w:tc>
          <w:tcPr>
            <w:tcW w:w="3260" w:type="dxa"/>
          </w:tcPr>
          <w:p w14:paraId="36D5B737" w14:textId="77777777" w:rsidR="007A6B91" w:rsidRDefault="007A6B91" w:rsidP="007A6B91">
            <w:pPr>
              <w:pStyle w:val="NormalWeb"/>
            </w:pPr>
            <w:r>
              <w:t>În instituțiile mici, cadrele didactice (în special educatorii) sunt implicate permanent în activitatea directă cu copiii și în elaborarea documentației educaționale. Încadrarea acestora în mai multe comisii reduce eficiența participării și poate afecta calitatea activității. Propunerea asigură echilibru între necesitatea organizatorică și capacitatea reală de implicare a personalului, prevenind atât supraîncărcarea, cât și concentrarea excesivă a responsabilităților la nivelul directorului.</w:t>
            </w:r>
          </w:p>
          <w:p w14:paraId="5C883297" w14:textId="77777777" w:rsidR="007A6B91" w:rsidRDefault="007A6B91" w:rsidP="007A6B91">
            <w:pPr>
              <w:pStyle w:val="NormalWeb"/>
            </w:pPr>
          </w:p>
        </w:tc>
      </w:tr>
      <w:tr w:rsidR="007A6B91" w14:paraId="690AF829" w14:textId="77777777" w:rsidTr="007604F0">
        <w:tc>
          <w:tcPr>
            <w:tcW w:w="2122" w:type="dxa"/>
          </w:tcPr>
          <w:p w14:paraId="6480A476" w14:textId="77777777" w:rsidR="007A6B91" w:rsidRDefault="007A6B91" w:rsidP="007A6B91">
            <w:pPr>
              <w:pStyle w:val="NormalWeb"/>
            </w:pPr>
            <w:r>
              <w:rPr>
                <w:rStyle w:val="Robust"/>
                <w:rFonts w:eastAsiaTheme="majorEastAsia"/>
              </w:rPr>
              <w:t>(Secțiunea 7 – Timpul de muncă și norma didactică):</w:t>
            </w:r>
          </w:p>
          <w:p w14:paraId="36321D88" w14:textId="77777777" w:rsidR="007A6B91" w:rsidRDefault="007A6B91" w:rsidP="007A6B91">
            <w:pPr>
              <w:pStyle w:val="NormalWeb"/>
            </w:pPr>
            <w:r>
              <w:lastRenderedPageBreak/>
              <w:t>Se completează după pct. 223–224 cu următorul conținut:</w:t>
            </w:r>
          </w:p>
          <w:p w14:paraId="6C2B5163" w14:textId="77777777" w:rsidR="007A6B91" w:rsidRDefault="007A6B91" w:rsidP="007A6B91">
            <w:pPr>
              <w:pStyle w:val="NormalWeb"/>
            </w:pPr>
          </w:p>
        </w:tc>
        <w:tc>
          <w:tcPr>
            <w:tcW w:w="4252" w:type="dxa"/>
          </w:tcPr>
          <w:p w14:paraId="1DF8279F" w14:textId="77777777" w:rsidR="007A6B91" w:rsidRDefault="007A6B91" w:rsidP="007A6B91">
            <w:pPr>
              <w:pStyle w:val="NormalWeb"/>
            </w:pPr>
            <w:r>
              <w:lastRenderedPageBreak/>
              <w:t>„Timpul de muncă al personalului didactic se structurează distinct în:</w:t>
            </w:r>
            <w:r>
              <w:br/>
              <w:t>a) timp destinat activităților directe cu copiii;</w:t>
            </w:r>
            <w:r>
              <w:br/>
              <w:t xml:space="preserve">b) timp destinat activităților indirecte, </w:t>
            </w:r>
            <w:r>
              <w:lastRenderedPageBreak/>
              <w:t>inclusiv: proiectare didactică, elaborarea documentației educaționale, evaluare, activități metodice, participare în comisii, formare profesională continuă și alte activități instituționale.</w:t>
            </w:r>
          </w:p>
          <w:p w14:paraId="5414D168" w14:textId="77777777" w:rsidR="007A6B91" w:rsidRDefault="007A6B91" w:rsidP="007A6B91">
            <w:pPr>
              <w:pStyle w:val="NormalWeb"/>
            </w:pPr>
            <w:r>
              <w:t>Ponderea și repartizarea acestor categorii de timp se stabilesc la nivelul instituției, în funcție de specificul activității și cu respectarea normei didactice.</w:t>
            </w:r>
          </w:p>
          <w:p w14:paraId="54DE2C03" w14:textId="40B5E430" w:rsidR="007A6B91" w:rsidRDefault="007A6B91" w:rsidP="007A6B91">
            <w:pPr>
              <w:pStyle w:val="NormalWeb"/>
            </w:pPr>
            <w:r>
              <w:t>Instituția are obligația de a asigura condițiile necesare pentru realizarea activităților indirecte în cadrul timpului de muncă, fără a afecta calitatea activităților directe cu copiii.”</w:t>
            </w:r>
          </w:p>
        </w:tc>
        <w:tc>
          <w:tcPr>
            <w:tcW w:w="3260" w:type="dxa"/>
          </w:tcPr>
          <w:p w14:paraId="409F5F24" w14:textId="77777777" w:rsidR="007604F0" w:rsidRDefault="007A6B91" w:rsidP="007A6B91">
            <w:pPr>
              <w:pStyle w:val="NormalWeb"/>
            </w:pPr>
            <w:r>
              <w:lastRenderedPageBreak/>
              <w:t xml:space="preserve">Reglementarea actuală nu delimitează clar timpul de muncă destinat activităților directe și indirecte, ceea ce conduce la supraîncărcarea </w:t>
            </w:r>
            <w:r>
              <w:lastRenderedPageBreak/>
              <w:t xml:space="preserve">cadrelor didactice și la realizarea documentației în afara programului de muncă. De asemenea, nu este reglementată responsabilitatea pentru copii în lipsa temporară a educatorului din grupă. </w:t>
            </w:r>
            <w:r w:rsidR="007604F0">
              <w:t>Este necesară intervenirea în stipularea clară a orelor de lucru direct cu copii si ore pentru celelalte activități. Totodată cine va fi responsabil pentru supravegherea copiilor în lipsa educatorului.</w:t>
            </w:r>
          </w:p>
          <w:p w14:paraId="300C8806" w14:textId="21407398" w:rsidR="007A6B91" w:rsidRDefault="007604F0" w:rsidP="007A6B91">
            <w:pPr>
              <w:pStyle w:val="NormalWeb"/>
            </w:pPr>
            <w:r>
              <w:t>Aceasta va</w:t>
            </w:r>
            <w:r w:rsidR="007A6B91">
              <w:t xml:space="preserve"> asigură claritate, protecția copilului și condiții reale pentru implicarea cadrelor didactice în dezvoltare profesională și activități instituționale.</w:t>
            </w:r>
          </w:p>
          <w:p w14:paraId="6A4B6267" w14:textId="00F71E21" w:rsidR="007A6B91" w:rsidRDefault="007A6B91" w:rsidP="007A6B91">
            <w:pPr>
              <w:pStyle w:val="NormalWeb"/>
            </w:pPr>
          </w:p>
        </w:tc>
      </w:tr>
      <w:tr w:rsidR="00220BBA" w14:paraId="20E26350" w14:textId="77777777" w:rsidTr="007604F0">
        <w:tc>
          <w:tcPr>
            <w:tcW w:w="2122" w:type="dxa"/>
          </w:tcPr>
          <w:p w14:paraId="53672240" w14:textId="2D18E9DE" w:rsidR="00220BBA" w:rsidRDefault="00220BBA" w:rsidP="007604F0">
            <w:pPr>
              <w:pStyle w:val="NormalWeb"/>
              <w:rPr>
                <w:rStyle w:val="Robust"/>
                <w:rFonts w:eastAsiaTheme="majorEastAsia"/>
              </w:rPr>
            </w:pPr>
            <w:r w:rsidRPr="00220BBA">
              <w:rPr>
                <w:rStyle w:val="Robust"/>
                <w:rFonts w:eastAsiaTheme="majorEastAsia"/>
              </w:rPr>
              <w:lastRenderedPageBreak/>
              <w:t>la pct. 112–113):</w:t>
            </w:r>
          </w:p>
        </w:tc>
        <w:tc>
          <w:tcPr>
            <w:tcW w:w="4252" w:type="dxa"/>
          </w:tcPr>
          <w:p w14:paraId="1ACEF682" w14:textId="77777777" w:rsidR="00220BBA" w:rsidRDefault="00220BBA" w:rsidP="00220BBA">
            <w:pPr>
              <w:pStyle w:val="NormalWeb"/>
            </w:pPr>
            <w:r>
              <w:t xml:space="preserve">„În cazul în care în grupă sunt înmatriculați copii cu cerințe educaționale speciale (CES), numărul maxim de copii în grupă se reduce, după cum urmează:  </w:t>
            </w:r>
          </w:p>
          <w:p w14:paraId="10D399AB" w14:textId="77777777" w:rsidR="00220BBA" w:rsidRDefault="00220BBA" w:rsidP="00220BBA">
            <w:pPr>
              <w:pStyle w:val="NormalWeb"/>
            </w:pPr>
            <w:r>
              <w:t xml:space="preserve">– cu 2–3 copii pentru fiecare copil cu CES integrat;  </w:t>
            </w:r>
          </w:p>
          <w:p w14:paraId="3EB07949" w14:textId="11D35408" w:rsidR="00220BBA" w:rsidRDefault="00220BBA" w:rsidP="00220BBA">
            <w:pPr>
              <w:pStyle w:val="NormalWeb"/>
            </w:pPr>
            <w:r>
              <w:t>– în funcție de tipul și gradul de dificultate al cerințelor educaționale, în baza recomandărilor specialiștilor (psiholog, cadrul didactic de sprijin, servicii de asistență psihopedagogică).</w:t>
            </w:r>
          </w:p>
          <w:p w14:paraId="3699D1AF" w14:textId="1329CE33" w:rsidR="00220BBA" w:rsidRDefault="00220BBA" w:rsidP="00220BBA">
            <w:pPr>
              <w:pStyle w:val="NormalWeb"/>
            </w:pPr>
            <w:r>
              <w:t>Numărul concret de copii se stabilește prin decizia conducătorului instituției, cu avizul specialiștilor și în interesul superior al copilului.”</w:t>
            </w:r>
          </w:p>
        </w:tc>
        <w:tc>
          <w:tcPr>
            <w:tcW w:w="3260" w:type="dxa"/>
          </w:tcPr>
          <w:p w14:paraId="460DF7A6" w14:textId="7079F5B0" w:rsidR="00220BBA" w:rsidRDefault="00220BBA" w:rsidP="007A6B91">
            <w:pPr>
              <w:pStyle w:val="NormalWeb"/>
            </w:pPr>
            <w:r w:rsidRPr="00220BBA">
              <w:t>Integrarea copiilor cu CES presupune adaptarea procesului educațional, acordarea unui suport individualizat și monitorizare continuă. Menținerea aceluiași număr de copii în grupă afectează calitatea intervenției educaționale atât pentru copilul cu CES, cât și pentru ceilalți copii. Totodată, aceasta conduce la suprasolicitarea cadrului didactic, care trebuie să gestioneze simultan cerințe educaționale diverse, fără resurse suplimentare. Propunerea contribuie la asigurarea unui mediu educațional echitabil, eficient și sustenabil.</w:t>
            </w:r>
          </w:p>
        </w:tc>
      </w:tr>
    </w:tbl>
    <w:p w14:paraId="470FE28E" w14:textId="68E2CD99" w:rsidR="007A6B91" w:rsidRDefault="007A6B91" w:rsidP="008708F6">
      <w:pPr>
        <w:pStyle w:val="NormalWeb"/>
      </w:pPr>
    </w:p>
    <w:p w14:paraId="67CE2CB3" w14:textId="77777777" w:rsidR="00F12C76" w:rsidRDefault="00F12C76" w:rsidP="006C0B77">
      <w:pPr>
        <w:spacing w:after="0"/>
        <w:ind w:firstLine="709"/>
        <w:jc w:val="both"/>
      </w:pPr>
    </w:p>
    <w:sectPr w:rsidR="00F12C76" w:rsidSect="007604F0">
      <w:pgSz w:w="11906" w:h="16838" w:code="9"/>
      <w:pgMar w:top="1134" w:right="851"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91"/>
    <w:rsid w:val="00220BBA"/>
    <w:rsid w:val="003453AB"/>
    <w:rsid w:val="003A03C7"/>
    <w:rsid w:val="004605F8"/>
    <w:rsid w:val="00513F6C"/>
    <w:rsid w:val="00697EF9"/>
    <w:rsid w:val="006C0B77"/>
    <w:rsid w:val="007604F0"/>
    <w:rsid w:val="007A6B91"/>
    <w:rsid w:val="008242FF"/>
    <w:rsid w:val="00870751"/>
    <w:rsid w:val="008708F6"/>
    <w:rsid w:val="00922C48"/>
    <w:rsid w:val="00A37AC3"/>
    <w:rsid w:val="00A76185"/>
    <w:rsid w:val="00B07023"/>
    <w:rsid w:val="00B37C4E"/>
    <w:rsid w:val="00B915B7"/>
    <w:rsid w:val="00D2733D"/>
    <w:rsid w:val="00D722AE"/>
    <w:rsid w:val="00EA59DF"/>
    <w:rsid w:val="00EE4070"/>
    <w:rsid w:val="00F12C76"/>
    <w:rsid w:val="00F96EF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D94E"/>
  <w15:chartTrackingRefBased/>
  <w15:docId w15:val="{133D60BB-9C1B-4724-B05A-75A84FC8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14:ligatures w14:val="none"/>
    </w:rPr>
  </w:style>
  <w:style w:type="paragraph" w:styleId="Titlu1">
    <w:name w:val="heading 1"/>
    <w:basedOn w:val="Normal"/>
    <w:next w:val="Normal"/>
    <w:link w:val="Titlu1Caracter"/>
    <w:uiPriority w:val="9"/>
    <w:qFormat/>
    <w:rsid w:val="007A6B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A6B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A6B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Titlu4">
    <w:name w:val="heading 4"/>
    <w:basedOn w:val="Normal"/>
    <w:next w:val="Normal"/>
    <w:link w:val="Titlu4Caracter"/>
    <w:uiPriority w:val="9"/>
    <w:semiHidden/>
    <w:unhideWhenUsed/>
    <w:qFormat/>
    <w:rsid w:val="007A6B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7A6B91"/>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7A6B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7A6B91"/>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7A6B91"/>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7A6B91"/>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A6B91"/>
    <w:rPr>
      <w:rFonts w:asciiTheme="majorHAnsi" w:eastAsiaTheme="majorEastAsia" w:hAnsiTheme="majorHAnsi" w:cstheme="majorBidi"/>
      <w:color w:val="2F5496" w:themeColor="accent1" w:themeShade="BF"/>
      <w:sz w:val="40"/>
      <w:szCs w:val="40"/>
      <w14:ligatures w14:val="none"/>
    </w:rPr>
  </w:style>
  <w:style w:type="character" w:customStyle="1" w:styleId="Titlu2Caracter">
    <w:name w:val="Titlu 2 Caracter"/>
    <w:basedOn w:val="Fontdeparagrafimplicit"/>
    <w:link w:val="Titlu2"/>
    <w:uiPriority w:val="9"/>
    <w:semiHidden/>
    <w:rsid w:val="007A6B91"/>
    <w:rPr>
      <w:rFonts w:asciiTheme="majorHAnsi" w:eastAsiaTheme="majorEastAsia" w:hAnsiTheme="majorHAnsi" w:cstheme="majorBidi"/>
      <w:color w:val="2F5496" w:themeColor="accent1" w:themeShade="BF"/>
      <w:sz w:val="32"/>
      <w:szCs w:val="32"/>
      <w14:ligatures w14:val="none"/>
    </w:rPr>
  </w:style>
  <w:style w:type="character" w:customStyle="1" w:styleId="Titlu3Caracter">
    <w:name w:val="Titlu 3 Caracter"/>
    <w:basedOn w:val="Fontdeparagrafimplicit"/>
    <w:link w:val="Titlu3"/>
    <w:uiPriority w:val="9"/>
    <w:semiHidden/>
    <w:rsid w:val="007A6B91"/>
    <w:rPr>
      <w:rFonts w:eastAsiaTheme="majorEastAsia" w:cstheme="majorBidi"/>
      <w:color w:val="2F5496" w:themeColor="accent1" w:themeShade="BF"/>
      <w:sz w:val="28"/>
      <w:szCs w:val="28"/>
      <w14:ligatures w14:val="none"/>
    </w:rPr>
  </w:style>
  <w:style w:type="character" w:customStyle="1" w:styleId="Titlu4Caracter">
    <w:name w:val="Titlu 4 Caracter"/>
    <w:basedOn w:val="Fontdeparagrafimplicit"/>
    <w:link w:val="Titlu4"/>
    <w:uiPriority w:val="9"/>
    <w:semiHidden/>
    <w:rsid w:val="007A6B91"/>
    <w:rPr>
      <w:rFonts w:eastAsiaTheme="majorEastAsia" w:cstheme="majorBidi"/>
      <w:i/>
      <w:iCs/>
      <w:color w:val="2F5496" w:themeColor="accent1" w:themeShade="BF"/>
      <w:sz w:val="28"/>
      <w14:ligatures w14:val="none"/>
    </w:rPr>
  </w:style>
  <w:style w:type="character" w:customStyle="1" w:styleId="Titlu5Caracter">
    <w:name w:val="Titlu 5 Caracter"/>
    <w:basedOn w:val="Fontdeparagrafimplicit"/>
    <w:link w:val="Titlu5"/>
    <w:uiPriority w:val="9"/>
    <w:semiHidden/>
    <w:rsid w:val="007A6B91"/>
    <w:rPr>
      <w:rFonts w:eastAsiaTheme="majorEastAsia" w:cstheme="majorBidi"/>
      <w:color w:val="2F5496" w:themeColor="accent1" w:themeShade="BF"/>
      <w:sz w:val="28"/>
      <w14:ligatures w14:val="none"/>
    </w:rPr>
  </w:style>
  <w:style w:type="character" w:customStyle="1" w:styleId="Titlu6Caracter">
    <w:name w:val="Titlu 6 Caracter"/>
    <w:basedOn w:val="Fontdeparagrafimplicit"/>
    <w:link w:val="Titlu6"/>
    <w:uiPriority w:val="9"/>
    <w:semiHidden/>
    <w:rsid w:val="007A6B91"/>
    <w:rPr>
      <w:rFonts w:eastAsiaTheme="majorEastAsia" w:cstheme="majorBidi"/>
      <w:i/>
      <w:iCs/>
      <w:color w:val="595959" w:themeColor="text1" w:themeTint="A6"/>
      <w:sz w:val="28"/>
      <w14:ligatures w14:val="none"/>
    </w:rPr>
  </w:style>
  <w:style w:type="character" w:customStyle="1" w:styleId="Titlu7Caracter">
    <w:name w:val="Titlu 7 Caracter"/>
    <w:basedOn w:val="Fontdeparagrafimplicit"/>
    <w:link w:val="Titlu7"/>
    <w:uiPriority w:val="9"/>
    <w:semiHidden/>
    <w:rsid w:val="007A6B91"/>
    <w:rPr>
      <w:rFonts w:eastAsiaTheme="majorEastAsia" w:cstheme="majorBidi"/>
      <w:color w:val="595959" w:themeColor="text1" w:themeTint="A6"/>
      <w:sz w:val="28"/>
      <w14:ligatures w14:val="none"/>
    </w:rPr>
  </w:style>
  <w:style w:type="character" w:customStyle="1" w:styleId="Titlu8Caracter">
    <w:name w:val="Titlu 8 Caracter"/>
    <w:basedOn w:val="Fontdeparagrafimplicit"/>
    <w:link w:val="Titlu8"/>
    <w:uiPriority w:val="9"/>
    <w:semiHidden/>
    <w:rsid w:val="007A6B91"/>
    <w:rPr>
      <w:rFonts w:eastAsiaTheme="majorEastAsia" w:cstheme="majorBidi"/>
      <w:i/>
      <w:iCs/>
      <w:color w:val="272727" w:themeColor="text1" w:themeTint="D8"/>
      <w:sz w:val="28"/>
      <w14:ligatures w14:val="none"/>
    </w:rPr>
  </w:style>
  <w:style w:type="character" w:customStyle="1" w:styleId="Titlu9Caracter">
    <w:name w:val="Titlu 9 Caracter"/>
    <w:basedOn w:val="Fontdeparagrafimplicit"/>
    <w:link w:val="Titlu9"/>
    <w:uiPriority w:val="9"/>
    <w:semiHidden/>
    <w:rsid w:val="007A6B91"/>
    <w:rPr>
      <w:rFonts w:eastAsiaTheme="majorEastAsia" w:cstheme="majorBidi"/>
      <w:color w:val="272727" w:themeColor="text1" w:themeTint="D8"/>
      <w:sz w:val="28"/>
      <w14:ligatures w14:val="none"/>
    </w:rPr>
  </w:style>
  <w:style w:type="paragraph" w:styleId="Titlu">
    <w:name w:val="Title"/>
    <w:basedOn w:val="Normal"/>
    <w:next w:val="Normal"/>
    <w:link w:val="TitluCaracter"/>
    <w:uiPriority w:val="10"/>
    <w:qFormat/>
    <w:rsid w:val="007A6B91"/>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A6B91"/>
    <w:rPr>
      <w:rFonts w:asciiTheme="majorHAnsi" w:eastAsiaTheme="majorEastAsia" w:hAnsiTheme="majorHAnsi" w:cstheme="majorBidi"/>
      <w:spacing w:val="-10"/>
      <w:kern w:val="28"/>
      <w:sz w:val="56"/>
      <w:szCs w:val="56"/>
      <w14:ligatures w14:val="none"/>
    </w:rPr>
  </w:style>
  <w:style w:type="paragraph" w:styleId="Subtitlu">
    <w:name w:val="Subtitle"/>
    <w:basedOn w:val="Normal"/>
    <w:next w:val="Normal"/>
    <w:link w:val="SubtitluCaracter"/>
    <w:uiPriority w:val="11"/>
    <w:qFormat/>
    <w:rsid w:val="007A6B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7A6B91"/>
    <w:rPr>
      <w:rFonts w:eastAsiaTheme="majorEastAsia" w:cstheme="majorBidi"/>
      <w:color w:val="595959" w:themeColor="text1" w:themeTint="A6"/>
      <w:spacing w:val="15"/>
      <w:sz w:val="28"/>
      <w:szCs w:val="28"/>
      <w14:ligatures w14:val="none"/>
    </w:rPr>
  </w:style>
  <w:style w:type="paragraph" w:styleId="Citat">
    <w:name w:val="Quote"/>
    <w:basedOn w:val="Normal"/>
    <w:next w:val="Normal"/>
    <w:link w:val="CitatCaracter"/>
    <w:uiPriority w:val="29"/>
    <w:qFormat/>
    <w:rsid w:val="007A6B91"/>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A6B91"/>
    <w:rPr>
      <w:rFonts w:ascii="Times New Roman" w:hAnsi="Times New Roman"/>
      <w:i/>
      <w:iCs/>
      <w:color w:val="404040" w:themeColor="text1" w:themeTint="BF"/>
      <w:sz w:val="28"/>
      <w14:ligatures w14:val="none"/>
    </w:rPr>
  </w:style>
  <w:style w:type="paragraph" w:styleId="Listparagraf">
    <w:name w:val="List Paragraph"/>
    <w:basedOn w:val="Normal"/>
    <w:uiPriority w:val="34"/>
    <w:qFormat/>
    <w:rsid w:val="007A6B91"/>
    <w:pPr>
      <w:ind w:left="720"/>
      <w:contextualSpacing/>
    </w:pPr>
  </w:style>
  <w:style w:type="character" w:styleId="Accentuareintens">
    <w:name w:val="Intense Emphasis"/>
    <w:basedOn w:val="Fontdeparagrafimplicit"/>
    <w:uiPriority w:val="21"/>
    <w:qFormat/>
    <w:rsid w:val="007A6B91"/>
    <w:rPr>
      <w:i/>
      <w:iCs/>
      <w:color w:val="2F5496" w:themeColor="accent1" w:themeShade="BF"/>
    </w:rPr>
  </w:style>
  <w:style w:type="paragraph" w:styleId="Citatintens">
    <w:name w:val="Intense Quote"/>
    <w:basedOn w:val="Normal"/>
    <w:next w:val="Normal"/>
    <w:link w:val="CitatintensCaracter"/>
    <w:uiPriority w:val="30"/>
    <w:qFormat/>
    <w:rsid w:val="007A6B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A6B91"/>
    <w:rPr>
      <w:rFonts w:ascii="Times New Roman" w:hAnsi="Times New Roman"/>
      <w:i/>
      <w:iCs/>
      <w:color w:val="2F5496" w:themeColor="accent1" w:themeShade="BF"/>
      <w:sz w:val="28"/>
      <w14:ligatures w14:val="none"/>
    </w:rPr>
  </w:style>
  <w:style w:type="character" w:styleId="Referireintens">
    <w:name w:val="Intense Reference"/>
    <w:basedOn w:val="Fontdeparagrafimplicit"/>
    <w:uiPriority w:val="32"/>
    <w:qFormat/>
    <w:rsid w:val="007A6B91"/>
    <w:rPr>
      <w:b/>
      <w:bCs/>
      <w:smallCaps/>
      <w:color w:val="2F5496" w:themeColor="accent1" w:themeShade="BF"/>
      <w:spacing w:val="5"/>
    </w:rPr>
  </w:style>
  <w:style w:type="paragraph" w:styleId="NormalWeb">
    <w:name w:val="Normal (Web)"/>
    <w:basedOn w:val="Normal"/>
    <w:uiPriority w:val="99"/>
    <w:unhideWhenUsed/>
    <w:rsid w:val="007A6B91"/>
    <w:pPr>
      <w:spacing w:before="100" w:beforeAutospacing="1" w:after="100" w:afterAutospacing="1"/>
    </w:pPr>
    <w:rPr>
      <w:rFonts w:eastAsia="Times New Roman" w:cs="Times New Roman"/>
      <w:sz w:val="24"/>
      <w:szCs w:val="24"/>
      <w:lang w:eastAsia="ro-MD"/>
    </w:rPr>
  </w:style>
  <w:style w:type="character" w:styleId="Robust">
    <w:name w:val="Strong"/>
    <w:basedOn w:val="Fontdeparagrafimplicit"/>
    <w:uiPriority w:val="22"/>
    <w:qFormat/>
    <w:rsid w:val="007A6B91"/>
    <w:rPr>
      <w:b/>
      <w:bCs/>
    </w:rPr>
  </w:style>
  <w:style w:type="table" w:styleId="Tabelgril">
    <w:name w:val="Table Grid"/>
    <w:basedOn w:val="TabelNormal"/>
    <w:uiPriority w:val="39"/>
    <w:rsid w:val="007A6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783</Words>
  <Characters>4547</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2026-03-27T14:09:00Z</dcterms:created>
  <dcterms:modified xsi:type="dcterms:W3CDTF">2026-03-27T15:39:00Z</dcterms:modified>
</cp:coreProperties>
</file>