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0" w:type="auto"/>
        <w:tblLook w:val="04A0" w:firstRow="1" w:lastRow="0" w:firstColumn="1" w:lastColumn="0" w:noHBand="0" w:noVBand="1"/>
      </w:tblPr>
      <w:tblGrid>
        <w:gridCol w:w="805"/>
        <w:gridCol w:w="6840"/>
        <w:gridCol w:w="7239"/>
      </w:tblGrid>
      <w:tr w:rsidR="001C4724" w:rsidRPr="00615A77" w14:paraId="5370EF1D" w14:textId="77777777" w:rsidTr="001C4724">
        <w:tc>
          <w:tcPr>
            <w:tcW w:w="805" w:type="dxa"/>
          </w:tcPr>
          <w:p w14:paraId="3F82B5B4" w14:textId="77777777" w:rsidR="001C4724" w:rsidRPr="00615A77" w:rsidRDefault="001C4724" w:rsidP="006C0B77">
            <w:pPr>
              <w:jc w:val="both"/>
              <w:rPr>
                <w:sz w:val="24"/>
                <w:szCs w:val="24"/>
              </w:rPr>
            </w:pPr>
          </w:p>
        </w:tc>
        <w:tc>
          <w:tcPr>
            <w:tcW w:w="6840" w:type="dxa"/>
          </w:tcPr>
          <w:p w14:paraId="14818745" w14:textId="38EE46AE" w:rsidR="001C4724" w:rsidRPr="00615A77" w:rsidRDefault="001C4724" w:rsidP="001C4724">
            <w:pPr>
              <w:jc w:val="center"/>
              <w:rPr>
                <w:b/>
                <w:bCs/>
                <w:sz w:val="24"/>
                <w:szCs w:val="24"/>
              </w:rPr>
            </w:pPr>
            <w:r w:rsidRPr="00615A77">
              <w:rPr>
                <w:b/>
                <w:bCs/>
                <w:sz w:val="24"/>
                <w:szCs w:val="24"/>
              </w:rPr>
              <w:t>Articole din proiectul Hotărârii de Guvern</w:t>
            </w:r>
          </w:p>
        </w:tc>
        <w:tc>
          <w:tcPr>
            <w:tcW w:w="7239" w:type="dxa"/>
          </w:tcPr>
          <w:p w14:paraId="482F237B" w14:textId="078C6C98" w:rsidR="001C4724" w:rsidRPr="00615A77" w:rsidRDefault="001C4724" w:rsidP="001C4724">
            <w:pPr>
              <w:jc w:val="center"/>
              <w:rPr>
                <w:b/>
                <w:bCs/>
                <w:sz w:val="24"/>
                <w:szCs w:val="24"/>
              </w:rPr>
            </w:pPr>
            <w:r w:rsidRPr="00615A77">
              <w:rPr>
                <w:b/>
                <w:bCs/>
                <w:sz w:val="24"/>
                <w:szCs w:val="24"/>
              </w:rPr>
              <w:t>Propuneri de redactare ale articolelor</w:t>
            </w:r>
          </w:p>
        </w:tc>
      </w:tr>
      <w:tr w:rsidR="001C4724" w:rsidRPr="00615A77" w14:paraId="4E8B9749" w14:textId="77777777" w:rsidTr="001C4724">
        <w:tc>
          <w:tcPr>
            <w:tcW w:w="805" w:type="dxa"/>
          </w:tcPr>
          <w:p w14:paraId="2E9205AD" w14:textId="5B8F1564" w:rsidR="001C4724" w:rsidRPr="00615A77" w:rsidRDefault="001C4724" w:rsidP="006C0B77">
            <w:pPr>
              <w:jc w:val="both"/>
              <w:rPr>
                <w:sz w:val="24"/>
                <w:szCs w:val="24"/>
              </w:rPr>
            </w:pPr>
            <w:r w:rsidRPr="00615A77">
              <w:rPr>
                <w:sz w:val="24"/>
                <w:szCs w:val="24"/>
              </w:rPr>
              <w:t>1</w:t>
            </w:r>
          </w:p>
        </w:tc>
        <w:tc>
          <w:tcPr>
            <w:tcW w:w="6840" w:type="dxa"/>
          </w:tcPr>
          <w:p w14:paraId="32F08508" w14:textId="24E1CC21" w:rsidR="001C4724" w:rsidRPr="00615A77" w:rsidRDefault="001C4724" w:rsidP="006C0B77">
            <w:pPr>
              <w:jc w:val="both"/>
              <w:rPr>
                <w:sz w:val="24"/>
                <w:szCs w:val="24"/>
              </w:rPr>
            </w:pPr>
            <w:r w:rsidRPr="00615A77">
              <w:rPr>
                <w:rFonts w:eastAsia="Times New Roman" w:cs="Times New Roman"/>
                <w:color w:val="333333"/>
                <w:kern w:val="0"/>
                <w:sz w:val="24"/>
                <w:szCs w:val="24"/>
                <w:shd w:val="clear" w:color="auto" w:fill="FFFFFF"/>
                <w:lang w:eastAsia="ro-MD"/>
                <w14:ligatures w14:val="none"/>
              </w:rPr>
              <w:t>3. Se instituie Centrul Universitar „Bogdan Petriceicu Hașdeu”</w:t>
            </w:r>
            <w:r w:rsidRPr="00615A77">
              <w:rPr>
                <w:sz w:val="24"/>
                <w:szCs w:val="24"/>
              </w:rPr>
              <w:t xml:space="preserve"> </w:t>
            </w:r>
            <w:r w:rsidRPr="00615A77">
              <w:rPr>
                <w:rFonts w:eastAsia="Times New Roman" w:cs="Times New Roman"/>
                <w:color w:val="333333"/>
                <w:kern w:val="0"/>
                <w:sz w:val="24"/>
                <w:szCs w:val="24"/>
                <w:shd w:val="clear" w:color="auto" w:fill="FFFFFF"/>
                <w:lang w:eastAsia="ro-MD"/>
                <w14:ligatures w14:val="none"/>
              </w:rPr>
              <w:t xml:space="preserve">în cadrul Instituției Publice Universitatea Tehnică a Moldovei, cu sediul în municipiul Cahul (în continuare – Centrul Universitar) pentru susținerea dezvoltării educaționale, științifice și </w:t>
            </w:r>
            <w:proofErr w:type="spellStart"/>
            <w:r w:rsidRPr="00615A77">
              <w:rPr>
                <w:rFonts w:eastAsia="Times New Roman" w:cs="Times New Roman"/>
                <w:color w:val="333333"/>
                <w:kern w:val="0"/>
                <w:sz w:val="24"/>
                <w:szCs w:val="24"/>
                <w:shd w:val="clear" w:color="auto" w:fill="FFFFFF"/>
                <w:lang w:eastAsia="ro-MD"/>
                <w14:ligatures w14:val="none"/>
              </w:rPr>
              <w:t>socio</w:t>
            </w:r>
            <w:proofErr w:type="spellEnd"/>
            <w:r w:rsidRPr="00615A77">
              <w:rPr>
                <w:rFonts w:eastAsia="Times New Roman" w:cs="Times New Roman"/>
                <w:color w:val="333333"/>
                <w:kern w:val="0"/>
                <w:sz w:val="24"/>
                <w:szCs w:val="24"/>
                <w:shd w:val="clear" w:color="auto" w:fill="FFFFFF"/>
                <w:lang w:eastAsia="ro-MD"/>
                <w14:ligatures w14:val="none"/>
              </w:rPr>
              <w:t>-economice a regiunii de sud a Republicii Moldova, inclusiv prin adaptarea ofertei educaționale la necesitățile regionale.</w:t>
            </w:r>
          </w:p>
        </w:tc>
        <w:tc>
          <w:tcPr>
            <w:tcW w:w="7239" w:type="dxa"/>
          </w:tcPr>
          <w:p w14:paraId="2A3FB682" w14:textId="310517C6" w:rsidR="003E0D3F" w:rsidRDefault="001C4724" w:rsidP="006C0B77">
            <w:pPr>
              <w:jc w:val="both"/>
              <w:rPr>
                <w:rFonts w:eastAsia="Times New Roman" w:cs="Times New Roman"/>
                <w:color w:val="333333"/>
                <w:kern w:val="0"/>
                <w:sz w:val="24"/>
                <w:szCs w:val="24"/>
                <w:shd w:val="clear" w:color="auto" w:fill="FFFFFF"/>
                <w:lang w:eastAsia="ro-MD"/>
                <w14:ligatures w14:val="none"/>
              </w:rPr>
            </w:pPr>
            <w:r w:rsidRPr="00615A77">
              <w:rPr>
                <w:sz w:val="24"/>
                <w:szCs w:val="24"/>
              </w:rPr>
              <w:t xml:space="preserve">3. </w:t>
            </w:r>
            <w:r w:rsidR="003E0D3F" w:rsidRPr="003E0D3F">
              <w:rPr>
                <w:color w:val="00B050"/>
                <w:sz w:val="24"/>
                <w:szCs w:val="24"/>
              </w:rPr>
              <w:t xml:space="preserve">(1) </w:t>
            </w:r>
            <w:r w:rsidRPr="00615A77">
              <w:rPr>
                <w:rFonts w:eastAsia="Times New Roman" w:cs="Times New Roman"/>
                <w:color w:val="333333"/>
                <w:kern w:val="0"/>
                <w:sz w:val="24"/>
                <w:szCs w:val="24"/>
                <w:shd w:val="clear" w:color="auto" w:fill="FFFFFF"/>
                <w:lang w:eastAsia="ro-MD"/>
                <w14:ligatures w14:val="none"/>
              </w:rPr>
              <w:t>Se instituie Centrul Universitar „Bogdan Petriceicu Hașdeu”</w:t>
            </w:r>
            <w:r w:rsidRPr="00615A77">
              <w:rPr>
                <w:sz w:val="24"/>
                <w:szCs w:val="24"/>
              </w:rPr>
              <w:t xml:space="preserve"> </w:t>
            </w:r>
            <w:r w:rsidRPr="00615A77">
              <w:rPr>
                <w:rFonts w:eastAsia="Times New Roman" w:cs="Times New Roman"/>
                <w:color w:val="333333"/>
                <w:kern w:val="0"/>
                <w:sz w:val="24"/>
                <w:szCs w:val="24"/>
                <w:shd w:val="clear" w:color="auto" w:fill="FFFFFF"/>
                <w:lang w:eastAsia="ro-MD"/>
                <w14:ligatures w14:val="none"/>
              </w:rPr>
              <w:t xml:space="preserve">în cadrul Instituției Publice Universitatea Tehnică a Moldovei, cu sediul în municipiul Cahul (în continuare – Centrul Universitar) pentru susținerea dezvoltării educaționale, științifice și </w:t>
            </w:r>
            <w:proofErr w:type="spellStart"/>
            <w:r w:rsidRPr="00615A77">
              <w:rPr>
                <w:rFonts w:eastAsia="Times New Roman" w:cs="Times New Roman"/>
                <w:color w:val="333333"/>
                <w:kern w:val="0"/>
                <w:sz w:val="24"/>
                <w:szCs w:val="24"/>
                <w:shd w:val="clear" w:color="auto" w:fill="FFFFFF"/>
                <w:lang w:eastAsia="ro-MD"/>
                <w14:ligatures w14:val="none"/>
              </w:rPr>
              <w:t>socio</w:t>
            </w:r>
            <w:proofErr w:type="spellEnd"/>
            <w:r w:rsidRPr="00615A77">
              <w:rPr>
                <w:rFonts w:eastAsia="Times New Roman" w:cs="Times New Roman"/>
                <w:color w:val="333333"/>
                <w:kern w:val="0"/>
                <w:sz w:val="24"/>
                <w:szCs w:val="24"/>
                <w:shd w:val="clear" w:color="auto" w:fill="FFFFFF"/>
                <w:lang w:eastAsia="ro-MD"/>
                <w14:ligatures w14:val="none"/>
              </w:rPr>
              <w:t xml:space="preserve">-economice a regiunii de sud a Republicii Moldova, inclusiv prin adaptarea ofertei educaționale la necesitățile regionale. </w:t>
            </w:r>
          </w:p>
          <w:p w14:paraId="5DBE6951" w14:textId="77777777" w:rsidR="001C4724" w:rsidRDefault="003E0D3F" w:rsidP="006C0B77">
            <w:pPr>
              <w:jc w:val="both"/>
              <w:rPr>
                <w:color w:val="00B050"/>
                <w:sz w:val="24"/>
                <w:szCs w:val="24"/>
              </w:rPr>
            </w:pPr>
            <w:r>
              <w:rPr>
                <w:color w:val="00B050"/>
                <w:sz w:val="24"/>
                <w:szCs w:val="24"/>
              </w:rPr>
              <w:t xml:space="preserve">(2) </w:t>
            </w:r>
            <w:r w:rsidR="001C4724" w:rsidRPr="00615A77">
              <w:rPr>
                <w:color w:val="00B050"/>
                <w:sz w:val="24"/>
                <w:szCs w:val="24"/>
              </w:rPr>
              <w:t>Centrul Universitar „Bogdan Petriceicu Hașdeu” din Cahul se instituie ca structură universitară permanentă. Desființarea, comasarea sau schimbarea statutului său juridic poate avea loc exclusiv prin hotărâre de Guvern, adoptată în baza unei evaluări externe independente și a consultării obligatorii a autorităților publice locale și regionale.</w:t>
            </w:r>
          </w:p>
          <w:p w14:paraId="502C4CD0" w14:textId="3FF59C55" w:rsidR="003E0D3F" w:rsidRPr="00615A77" w:rsidRDefault="003E0D3F" w:rsidP="006C0B77">
            <w:pPr>
              <w:jc w:val="both"/>
              <w:rPr>
                <w:sz w:val="24"/>
                <w:szCs w:val="24"/>
              </w:rPr>
            </w:pPr>
            <w:r w:rsidRPr="003E0D3F">
              <w:rPr>
                <w:color w:val="00B050"/>
                <w:sz w:val="24"/>
                <w:szCs w:val="24"/>
              </w:rPr>
              <w:t>(3)</w:t>
            </w:r>
            <w:r>
              <w:rPr>
                <w:color w:val="00B050"/>
                <w:sz w:val="24"/>
                <w:szCs w:val="24"/>
              </w:rPr>
              <w:t xml:space="preserve"> </w:t>
            </w:r>
            <w:r w:rsidRPr="003E0D3F">
              <w:rPr>
                <w:color w:val="00B050"/>
                <w:sz w:val="24"/>
                <w:szCs w:val="24"/>
              </w:rPr>
              <w:t>Centrul Universitar „Bogdan Petriceicu Hașdeu” din Cahul este recunoscut ca infrastructură educațională critică pentru dezvoltarea regiunii de sud a Republicii Moldova și este integrat</w:t>
            </w:r>
            <w:r w:rsidR="0012789F">
              <w:rPr>
                <w:color w:val="00B050"/>
                <w:sz w:val="24"/>
                <w:szCs w:val="24"/>
              </w:rPr>
              <w:t>, în mod corespunzător,</w:t>
            </w:r>
            <w:r w:rsidRPr="003E0D3F">
              <w:rPr>
                <w:color w:val="00B050"/>
                <w:sz w:val="24"/>
                <w:szCs w:val="24"/>
              </w:rPr>
              <w:t xml:space="preserve"> în politicile naționale de dezvoltare regională, ocupare a forței de muncă și coeziune teritorială.</w:t>
            </w:r>
          </w:p>
        </w:tc>
      </w:tr>
      <w:tr w:rsidR="003E0D3F" w:rsidRPr="00615A77" w14:paraId="1FFCA4D6" w14:textId="77777777" w:rsidTr="001C4724">
        <w:tc>
          <w:tcPr>
            <w:tcW w:w="805" w:type="dxa"/>
          </w:tcPr>
          <w:p w14:paraId="722CD8CF" w14:textId="3A4C6C8D" w:rsidR="003E0D3F" w:rsidRPr="00615A77" w:rsidRDefault="003E0D3F" w:rsidP="006C0B77">
            <w:pPr>
              <w:jc w:val="both"/>
              <w:rPr>
                <w:sz w:val="24"/>
                <w:szCs w:val="24"/>
              </w:rPr>
            </w:pPr>
            <w:r>
              <w:rPr>
                <w:sz w:val="24"/>
                <w:szCs w:val="24"/>
              </w:rPr>
              <w:t>2</w:t>
            </w:r>
          </w:p>
        </w:tc>
        <w:tc>
          <w:tcPr>
            <w:tcW w:w="6840" w:type="dxa"/>
          </w:tcPr>
          <w:p w14:paraId="3AAF1BB6" w14:textId="77777777" w:rsidR="003E0D3F" w:rsidRPr="003E0D3F" w:rsidRDefault="003E0D3F" w:rsidP="003E0D3F">
            <w:pPr>
              <w:jc w:val="both"/>
              <w:rPr>
                <w:rFonts w:eastAsia="Times New Roman" w:cs="Times New Roman"/>
                <w:color w:val="333333"/>
                <w:kern w:val="0"/>
                <w:sz w:val="24"/>
                <w:szCs w:val="24"/>
                <w:shd w:val="clear" w:color="auto" w:fill="FFFFFF"/>
                <w:lang w:val="ro-RO" w:eastAsia="ro-MD"/>
                <w14:ligatures w14:val="none"/>
              </w:rPr>
            </w:pPr>
            <w:r w:rsidRPr="003E0D3F">
              <w:rPr>
                <w:rFonts w:eastAsia="Times New Roman" w:cs="Times New Roman"/>
                <w:color w:val="333333"/>
                <w:kern w:val="0"/>
                <w:sz w:val="24"/>
                <w:szCs w:val="24"/>
                <w:shd w:val="clear" w:color="auto" w:fill="FFFFFF"/>
                <w:lang w:eastAsia="ro-MD"/>
                <w14:ligatures w14:val="none"/>
              </w:rPr>
              <w:t xml:space="preserve">5. </w:t>
            </w:r>
            <w:r w:rsidRPr="003E0D3F">
              <w:rPr>
                <w:rFonts w:eastAsia="Times New Roman" w:cs="Times New Roman"/>
                <w:color w:val="333333"/>
                <w:kern w:val="0"/>
                <w:sz w:val="24"/>
                <w:szCs w:val="24"/>
                <w:shd w:val="clear" w:color="auto" w:fill="FFFFFF"/>
                <w:lang w:val="ro-RO" w:eastAsia="ro-MD"/>
                <w14:ligatures w14:val="none"/>
              </w:rPr>
              <w:t>Centrul Universitar participă</w:t>
            </w:r>
            <w:r w:rsidRPr="003E0D3F">
              <w:rPr>
                <w:lang w:val="ro-RO"/>
              </w:rPr>
              <w:t xml:space="preserve"> </w:t>
            </w:r>
            <w:r w:rsidRPr="003E0D3F">
              <w:rPr>
                <w:rFonts w:eastAsia="Times New Roman" w:cs="Times New Roman"/>
                <w:color w:val="333333"/>
                <w:kern w:val="0"/>
                <w:sz w:val="24"/>
                <w:szCs w:val="24"/>
                <w:shd w:val="clear" w:color="auto" w:fill="FFFFFF"/>
                <w:lang w:val="ro-RO" w:eastAsia="ro-MD"/>
                <w14:ligatures w14:val="none"/>
              </w:rPr>
              <w:t>în cadrul Instituției Publice Universitatea Tehnică a Moldovei, prin mecanismele de guvernanță prevăzute de prezenta hotărâre și de Carta universitară, la procesul de elaborare a deciziilor strategice care vizează dezvoltarea sa, implicit, la inițierea și organizarea programelor de studii, inclusiv interdisciplinare, în vederea răspunderii la necesitățile pieței muncii regionale, cu respectarea standardelor naționale de asigurare a calității,</w:t>
            </w:r>
            <w:r w:rsidRPr="003E0D3F">
              <w:rPr>
                <w:lang w:val="ro-RO"/>
              </w:rPr>
              <w:t xml:space="preserve"> </w:t>
            </w:r>
            <w:r w:rsidRPr="003E0D3F">
              <w:rPr>
                <w:rFonts w:eastAsia="Times New Roman" w:cs="Times New Roman"/>
                <w:color w:val="333333"/>
                <w:kern w:val="0"/>
                <w:sz w:val="24"/>
                <w:szCs w:val="24"/>
                <w:shd w:val="clear" w:color="auto" w:fill="FFFFFF"/>
                <w:lang w:val="ro-RO" w:eastAsia="ro-MD"/>
                <w14:ligatures w14:val="none"/>
              </w:rPr>
              <w:t>precum și a procedurii prevăzute de art. 104 alin. 1 lit. (e) din Codul educației nr. 152/2014, cu modificările ulterioare.</w:t>
            </w:r>
          </w:p>
          <w:p w14:paraId="3D86668D" w14:textId="6AC6E690" w:rsidR="003E0D3F" w:rsidRPr="00615A77" w:rsidRDefault="003E0D3F" w:rsidP="006C0B77">
            <w:pPr>
              <w:jc w:val="both"/>
              <w:rPr>
                <w:rFonts w:eastAsia="Times New Roman" w:cs="Times New Roman"/>
                <w:color w:val="333333"/>
                <w:kern w:val="0"/>
                <w:sz w:val="24"/>
                <w:szCs w:val="24"/>
                <w:shd w:val="clear" w:color="auto" w:fill="FFFFFF"/>
                <w:lang w:eastAsia="ro-MD"/>
                <w14:ligatures w14:val="none"/>
              </w:rPr>
            </w:pPr>
          </w:p>
        </w:tc>
        <w:tc>
          <w:tcPr>
            <w:tcW w:w="7239" w:type="dxa"/>
          </w:tcPr>
          <w:p w14:paraId="36497DEB" w14:textId="5B2EEF40" w:rsidR="003E0D3F" w:rsidRDefault="003E0D3F" w:rsidP="003E0D3F">
            <w:pPr>
              <w:jc w:val="both"/>
              <w:rPr>
                <w:rFonts w:eastAsia="Times New Roman" w:cs="Times New Roman"/>
                <w:color w:val="333333"/>
                <w:kern w:val="0"/>
                <w:sz w:val="24"/>
                <w:szCs w:val="24"/>
                <w:shd w:val="clear" w:color="auto" w:fill="FFFFFF"/>
                <w:lang w:eastAsia="ro-MD"/>
                <w14:ligatures w14:val="none"/>
              </w:rPr>
            </w:pPr>
            <w:r>
              <w:rPr>
                <w:rFonts w:eastAsia="Times New Roman" w:cs="Times New Roman"/>
                <w:color w:val="333333"/>
                <w:kern w:val="0"/>
                <w:sz w:val="24"/>
                <w:szCs w:val="24"/>
                <w:shd w:val="clear" w:color="auto" w:fill="FFFFFF"/>
                <w:lang w:eastAsia="ro-MD"/>
                <w14:ligatures w14:val="none"/>
              </w:rPr>
              <w:t xml:space="preserve">5. </w:t>
            </w:r>
            <w:r w:rsidRPr="003E0D3F">
              <w:rPr>
                <w:rFonts w:eastAsia="Times New Roman" w:cs="Times New Roman"/>
                <w:color w:val="00B050"/>
                <w:kern w:val="0"/>
                <w:sz w:val="24"/>
                <w:szCs w:val="24"/>
                <w:shd w:val="clear" w:color="auto" w:fill="FFFFFF"/>
                <w:lang w:eastAsia="ro-MD"/>
                <w14:ligatures w14:val="none"/>
              </w:rPr>
              <w:t xml:space="preserve">(1) </w:t>
            </w:r>
            <w:r w:rsidRPr="003E0D3F">
              <w:rPr>
                <w:rFonts w:eastAsia="Times New Roman" w:cs="Times New Roman"/>
                <w:color w:val="333333"/>
                <w:kern w:val="0"/>
                <w:sz w:val="24"/>
                <w:szCs w:val="24"/>
                <w:shd w:val="clear" w:color="auto" w:fill="FFFFFF"/>
                <w:lang w:eastAsia="ro-MD"/>
                <w14:ligatures w14:val="none"/>
              </w:rPr>
              <w:t>Centrul Universitar participă în cadrul Instituției Publice Universitatea Tehnică a Moldovei, prin mecanismele de guvernanță prevăzute de prezenta hotărâre și de Carta universitară, la procesul de elaborare a deciziilor strategice care vizează dezvoltarea sa, implicit, la inițierea și organizarea programelor de studii, inclusiv interdisciplinare, în vederea răspunderii la necesitățile pieței muncii regionale, cu respectarea standardelor naționale de asigurare a calității, precum și a procedurii prevăzute de art. 104 alin. 1 lit. (e) din Codul educației nr. 152/2014, cu modificările ulterioare.</w:t>
            </w:r>
          </w:p>
          <w:p w14:paraId="58945DA5" w14:textId="0F0859FC" w:rsidR="003E0D3F" w:rsidRPr="003E0D3F" w:rsidRDefault="003E0D3F" w:rsidP="003E0D3F">
            <w:pPr>
              <w:jc w:val="both"/>
              <w:rPr>
                <w:rFonts w:eastAsia="Times New Roman" w:cs="Times New Roman"/>
                <w:color w:val="00B050"/>
                <w:kern w:val="0"/>
                <w:sz w:val="24"/>
                <w:szCs w:val="24"/>
                <w:shd w:val="clear" w:color="auto" w:fill="FFFFFF"/>
                <w:lang w:eastAsia="ro-MD"/>
                <w14:ligatures w14:val="none"/>
              </w:rPr>
            </w:pPr>
            <w:r w:rsidRPr="003E0D3F">
              <w:rPr>
                <w:rFonts w:eastAsia="Times New Roman" w:cs="Times New Roman"/>
                <w:color w:val="00B050"/>
                <w:kern w:val="0"/>
                <w:sz w:val="24"/>
                <w:szCs w:val="24"/>
                <w:shd w:val="clear" w:color="auto" w:fill="FFFFFF"/>
                <w:lang w:eastAsia="ro-MD"/>
                <w14:ligatures w14:val="none"/>
              </w:rPr>
              <w:t>(2)</w:t>
            </w:r>
            <w:r>
              <w:rPr>
                <w:rFonts w:eastAsia="Times New Roman" w:cs="Times New Roman"/>
                <w:color w:val="00B050"/>
                <w:kern w:val="0"/>
                <w:sz w:val="24"/>
                <w:szCs w:val="24"/>
                <w:shd w:val="clear" w:color="auto" w:fill="FFFFFF"/>
                <w:lang w:eastAsia="ro-MD"/>
                <w14:ligatures w14:val="none"/>
              </w:rPr>
              <w:t xml:space="preserve"> </w:t>
            </w:r>
            <w:r w:rsidRPr="003E0D3F">
              <w:rPr>
                <w:rFonts w:eastAsia="Times New Roman" w:cs="Times New Roman"/>
                <w:color w:val="00B050"/>
                <w:kern w:val="0"/>
                <w:sz w:val="24"/>
                <w:szCs w:val="24"/>
                <w:shd w:val="clear" w:color="auto" w:fill="FFFFFF"/>
                <w:lang w:eastAsia="ro-MD"/>
                <w14:ligatures w14:val="none"/>
              </w:rPr>
              <w:t>Instituția Publică Universitatea Tehnică a Moldovei asigură menținerea și dezvoltarea studiilor universitare cu frecvență în cadrul Centrului Universitar „Bogdan Petriceicu Hașdeu” din Cahul ca formă prioritară de învățământ, în vederea prevenirii depopulării academice a regiunii de sud a Republicii Moldova.</w:t>
            </w:r>
          </w:p>
          <w:p w14:paraId="6818F1AF" w14:textId="77777777" w:rsidR="003E0D3F" w:rsidRPr="003E0D3F" w:rsidRDefault="003E0D3F" w:rsidP="006C0B77">
            <w:pPr>
              <w:jc w:val="both"/>
              <w:rPr>
                <w:rFonts w:eastAsia="Times New Roman" w:cs="Times New Roman"/>
                <w:color w:val="333333"/>
                <w:kern w:val="0"/>
                <w:sz w:val="24"/>
                <w:szCs w:val="24"/>
                <w:shd w:val="clear" w:color="auto" w:fill="FFFFFF"/>
                <w:lang w:eastAsia="ro-MD"/>
                <w14:ligatures w14:val="none"/>
              </w:rPr>
            </w:pPr>
          </w:p>
        </w:tc>
      </w:tr>
      <w:tr w:rsidR="00F9264F" w:rsidRPr="00615A77" w14:paraId="26281EF7" w14:textId="77777777" w:rsidTr="001C4724">
        <w:tc>
          <w:tcPr>
            <w:tcW w:w="805" w:type="dxa"/>
          </w:tcPr>
          <w:p w14:paraId="474D5773" w14:textId="57DCD906" w:rsidR="00F9264F" w:rsidRPr="00615A77" w:rsidRDefault="003E0D3F" w:rsidP="006C0B77">
            <w:pPr>
              <w:jc w:val="both"/>
              <w:rPr>
                <w:sz w:val="24"/>
                <w:szCs w:val="24"/>
              </w:rPr>
            </w:pPr>
            <w:r>
              <w:rPr>
                <w:sz w:val="24"/>
                <w:szCs w:val="24"/>
              </w:rPr>
              <w:t>3</w:t>
            </w:r>
          </w:p>
        </w:tc>
        <w:tc>
          <w:tcPr>
            <w:tcW w:w="6840" w:type="dxa"/>
          </w:tcPr>
          <w:p w14:paraId="7D20BCFA" w14:textId="77777777" w:rsidR="00F9264F" w:rsidRPr="00615A77" w:rsidRDefault="00F9264F" w:rsidP="006C0B77">
            <w:pPr>
              <w:jc w:val="both"/>
              <w:rPr>
                <w:rFonts w:eastAsia="Times New Roman" w:cs="Times New Roman"/>
                <w:color w:val="333333"/>
                <w:kern w:val="0"/>
                <w:sz w:val="24"/>
                <w:szCs w:val="24"/>
                <w:shd w:val="clear" w:color="auto" w:fill="FFFFFF"/>
                <w:lang w:eastAsia="ro-MD"/>
                <w14:ligatures w14:val="none"/>
              </w:rPr>
            </w:pPr>
          </w:p>
        </w:tc>
        <w:tc>
          <w:tcPr>
            <w:tcW w:w="7239" w:type="dxa"/>
          </w:tcPr>
          <w:p w14:paraId="259C0292" w14:textId="77777777" w:rsidR="00F9264F" w:rsidRPr="00615A77" w:rsidRDefault="00F9264F" w:rsidP="00F9264F">
            <w:pPr>
              <w:rPr>
                <w:color w:val="00B050"/>
                <w:sz w:val="24"/>
                <w:szCs w:val="24"/>
              </w:rPr>
            </w:pPr>
            <w:r w:rsidRPr="00615A77">
              <w:rPr>
                <w:color w:val="00B050"/>
                <w:sz w:val="24"/>
                <w:szCs w:val="24"/>
              </w:rPr>
              <w:t>5</w:t>
            </w:r>
            <w:r w:rsidRPr="00615A77">
              <w:rPr>
                <w:color w:val="00B050"/>
                <w:sz w:val="24"/>
                <w:szCs w:val="24"/>
                <w:vertAlign w:val="superscript"/>
              </w:rPr>
              <w:t>1</w:t>
            </w:r>
            <w:r w:rsidRPr="00615A77">
              <w:rPr>
                <w:color w:val="00B050"/>
                <w:sz w:val="24"/>
                <w:szCs w:val="24"/>
              </w:rPr>
              <w:t xml:space="preserve">. (1) Instituția Publică Universitatea Tehnică a Moldovei are obligația de a asigura funcționarea Centrului Universitar „Bogdan Petriceicu Hașdeu” din Cahul, pe o perioadă de cel puțin 10 ani de la intrarea în </w:t>
            </w:r>
            <w:r w:rsidRPr="00615A77">
              <w:rPr>
                <w:color w:val="00B050"/>
                <w:sz w:val="24"/>
                <w:szCs w:val="24"/>
              </w:rPr>
              <w:lastRenderedPageBreak/>
              <w:t>vigoare a prezentei hotărâri, cu respectarea unor parametri academici minimi.</w:t>
            </w:r>
          </w:p>
          <w:p w14:paraId="6D1B516F" w14:textId="5F1CBC2A" w:rsidR="00F9264F" w:rsidRPr="00F9264F" w:rsidRDefault="00F9264F" w:rsidP="00F9264F">
            <w:pPr>
              <w:rPr>
                <w:color w:val="00B050"/>
                <w:sz w:val="24"/>
                <w:szCs w:val="24"/>
              </w:rPr>
            </w:pPr>
            <w:r w:rsidRPr="00F9264F">
              <w:rPr>
                <w:color w:val="00B050"/>
                <w:sz w:val="24"/>
                <w:szCs w:val="24"/>
              </w:rPr>
              <w:t>(2) Parametrii academici minimi includ:</w:t>
            </w:r>
            <w:r w:rsidRPr="00F9264F">
              <w:rPr>
                <w:color w:val="00B050"/>
                <w:sz w:val="24"/>
                <w:szCs w:val="24"/>
              </w:rPr>
              <w:br/>
              <w:t>a)</w:t>
            </w:r>
            <w:r w:rsidRPr="00615A77">
              <w:rPr>
                <w:color w:val="00B050"/>
                <w:sz w:val="24"/>
                <w:szCs w:val="24"/>
              </w:rPr>
              <w:t xml:space="preserve"> </w:t>
            </w:r>
            <w:r w:rsidRPr="00F9264F">
              <w:rPr>
                <w:color w:val="00B050"/>
                <w:sz w:val="24"/>
                <w:szCs w:val="24"/>
              </w:rPr>
              <w:t xml:space="preserve">minimum </w:t>
            </w:r>
            <w:r w:rsidR="0012789F">
              <w:rPr>
                <w:color w:val="00B050"/>
                <w:sz w:val="24"/>
                <w:szCs w:val="24"/>
              </w:rPr>
              <w:t>4</w:t>
            </w:r>
            <w:r w:rsidRPr="00F9264F">
              <w:rPr>
                <w:color w:val="00B050"/>
                <w:sz w:val="24"/>
                <w:szCs w:val="24"/>
              </w:rPr>
              <w:t xml:space="preserve"> domenii generale de studii;</w:t>
            </w:r>
            <w:r w:rsidRPr="00F9264F">
              <w:rPr>
                <w:color w:val="00B050"/>
                <w:sz w:val="24"/>
                <w:szCs w:val="24"/>
              </w:rPr>
              <w:br/>
              <w:t xml:space="preserve">b) minimum </w:t>
            </w:r>
            <w:r w:rsidR="0012789F">
              <w:rPr>
                <w:color w:val="00B050"/>
                <w:sz w:val="24"/>
                <w:szCs w:val="24"/>
              </w:rPr>
              <w:t>7</w:t>
            </w:r>
            <w:r w:rsidRPr="00F9264F">
              <w:rPr>
                <w:color w:val="00B050"/>
                <w:sz w:val="24"/>
                <w:szCs w:val="24"/>
              </w:rPr>
              <w:t xml:space="preserve"> programe de studii universitare de licență acreditate;</w:t>
            </w:r>
            <w:r w:rsidRPr="00F9264F">
              <w:rPr>
                <w:color w:val="00B050"/>
                <w:sz w:val="24"/>
                <w:szCs w:val="24"/>
              </w:rPr>
              <w:br/>
              <w:t xml:space="preserve">c) minimum </w:t>
            </w:r>
            <w:r w:rsidR="0012789F">
              <w:rPr>
                <w:color w:val="00B050"/>
                <w:sz w:val="24"/>
                <w:szCs w:val="24"/>
              </w:rPr>
              <w:t>4</w:t>
            </w:r>
            <w:r w:rsidRPr="00F9264F">
              <w:rPr>
                <w:color w:val="00B050"/>
                <w:sz w:val="24"/>
                <w:szCs w:val="24"/>
              </w:rPr>
              <w:t xml:space="preserve"> programe de studii universitare de master</w:t>
            </w:r>
            <w:r w:rsidRPr="00615A77">
              <w:rPr>
                <w:color w:val="00B050"/>
                <w:sz w:val="24"/>
                <w:szCs w:val="24"/>
              </w:rPr>
              <w:t xml:space="preserve"> </w:t>
            </w:r>
            <w:r w:rsidRPr="00F9264F">
              <w:rPr>
                <w:color w:val="00B050"/>
                <w:sz w:val="24"/>
                <w:szCs w:val="24"/>
              </w:rPr>
              <w:t>acreditate.</w:t>
            </w:r>
          </w:p>
          <w:p w14:paraId="4C100A95" w14:textId="77777777" w:rsidR="00F9264F" w:rsidRPr="00F9264F" w:rsidRDefault="00F9264F" w:rsidP="00F9264F">
            <w:pPr>
              <w:rPr>
                <w:color w:val="00B050"/>
                <w:sz w:val="24"/>
                <w:szCs w:val="24"/>
              </w:rPr>
            </w:pPr>
            <w:r w:rsidRPr="00F9264F">
              <w:rPr>
                <w:color w:val="00B050"/>
                <w:sz w:val="24"/>
                <w:szCs w:val="24"/>
              </w:rPr>
              <w:t>(3) Modificarea sau nerespectarea parametrilor prevăzuți la alin. (2) poate avea loc doar prin hotărâre de Guvern, în baza unei evaluări externe independente și cu consultarea autorităților publice locale și regionale din municipiul Cahul.</w:t>
            </w:r>
          </w:p>
          <w:p w14:paraId="6BFEB9BB" w14:textId="1E72C854" w:rsidR="00F9264F" w:rsidRPr="00615A77" w:rsidRDefault="00F9264F" w:rsidP="006C0B77">
            <w:pPr>
              <w:jc w:val="both"/>
              <w:rPr>
                <w:color w:val="00B050"/>
                <w:sz w:val="24"/>
                <w:szCs w:val="24"/>
              </w:rPr>
            </w:pPr>
          </w:p>
        </w:tc>
      </w:tr>
      <w:tr w:rsidR="00615A77" w:rsidRPr="00615A77" w14:paraId="0FE4FD68" w14:textId="77777777" w:rsidTr="001C4724">
        <w:tc>
          <w:tcPr>
            <w:tcW w:w="805" w:type="dxa"/>
          </w:tcPr>
          <w:p w14:paraId="529D5C10" w14:textId="4E7E9FF5" w:rsidR="00615A77" w:rsidRPr="00615A77" w:rsidRDefault="003E0D3F" w:rsidP="006C0B77">
            <w:pPr>
              <w:jc w:val="both"/>
              <w:rPr>
                <w:sz w:val="24"/>
                <w:szCs w:val="24"/>
              </w:rPr>
            </w:pPr>
            <w:r>
              <w:rPr>
                <w:sz w:val="24"/>
                <w:szCs w:val="24"/>
              </w:rPr>
              <w:lastRenderedPageBreak/>
              <w:t>4</w:t>
            </w:r>
          </w:p>
        </w:tc>
        <w:tc>
          <w:tcPr>
            <w:tcW w:w="6840" w:type="dxa"/>
          </w:tcPr>
          <w:p w14:paraId="79E1AECC" w14:textId="77777777" w:rsidR="00615A77" w:rsidRPr="00615A77" w:rsidRDefault="00615A77" w:rsidP="006C0B77">
            <w:pPr>
              <w:jc w:val="both"/>
              <w:rPr>
                <w:rFonts w:eastAsia="Times New Roman" w:cs="Times New Roman"/>
                <w:color w:val="333333"/>
                <w:kern w:val="0"/>
                <w:sz w:val="24"/>
                <w:szCs w:val="24"/>
                <w:shd w:val="clear" w:color="auto" w:fill="FFFFFF"/>
                <w:lang w:eastAsia="ro-MD"/>
                <w14:ligatures w14:val="none"/>
              </w:rPr>
            </w:pPr>
          </w:p>
        </w:tc>
        <w:tc>
          <w:tcPr>
            <w:tcW w:w="7239" w:type="dxa"/>
          </w:tcPr>
          <w:p w14:paraId="070DCD5E" w14:textId="77777777" w:rsidR="00615A77" w:rsidRPr="00615A77" w:rsidRDefault="00615A77" w:rsidP="00615A77">
            <w:pPr>
              <w:jc w:val="both"/>
              <w:rPr>
                <w:color w:val="00B050"/>
                <w:sz w:val="24"/>
                <w:szCs w:val="24"/>
              </w:rPr>
            </w:pPr>
            <w:r w:rsidRPr="00615A77">
              <w:rPr>
                <w:color w:val="00B050"/>
                <w:sz w:val="24"/>
                <w:szCs w:val="24"/>
              </w:rPr>
              <w:t>14</w:t>
            </w:r>
            <w:r w:rsidRPr="00615A77">
              <w:rPr>
                <w:color w:val="00B050"/>
                <w:sz w:val="24"/>
                <w:szCs w:val="24"/>
                <w:vertAlign w:val="superscript"/>
              </w:rPr>
              <w:t>1</w:t>
            </w:r>
            <w:r w:rsidRPr="00615A77">
              <w:rPr>
                <w:color w:val="00B050"/>
                <w:sz w:val="24"/>
                <w:szCs w:val="24"/>
              </w:rPr>
              <w:t>. (1) Pentru asigurarea funcționării durabile a Centrului Universitar „Bogdan Petriceicu Hașdeu” din Cahul, la finanțarea de bază a acestuia se aplică un coeficient de finanțare regională, distinct de formula standard per student utilizată pentru Instituția Publică Universitatea Tehnică a Moldovei.</w:t>
            </w:r>
          </w:p>
          <w:p w14:paraId="758D6AEC" w14:textId="77777777" w:rsidR="00615A77" w:rsidRPr="00615A77" w:rsidRDefault="00615A77" w:rsidP="00615A77">
            <w:pPr>
              <w:jc w:val="both"/>
              <w:rPr>
                <w:color w:val="00B050"/>
                <w:sz w:val="24"/>
                <w:szCs w:val="24"/>
              </w:rPr>
            </w:pPr>
            <w:r w:rsidRPr="00615A77">
              <w:rPr>
                <w:color w:val="00B050"/>
                <w:sz w:val="24"/>
                <w:szCs w:val="24"/>
              </w:rPr>
              <w:t>(2) Coeficientul de finanțare regională prevăzut la alin. (1) ține cont de:</w:t>
            </w:r>
            <w:r w:rsidRPr="00615A77">
              <w:rPr>
                <w:color w:val="00B050"/>
                <w:sz w:val="24"/>
                <w:szCs w:val="24"/>
              </w:rPr>
              <w:br/>
              <w:t xml:space="preserve">a) declinul demografic și dimensiunea redusă a bazinului de recrutare din regiunea de sud; </w:t>
            </w:r>
          </w:p>
          <w:p w14:paraId="3F591575" w14:textId="77777777" w:rsidR="00615A77" w:rsidRPr="00615A77" w:rsidRDefault="00615A77" w:rsidP="00615A77">
            <w:pPr>
              <w:jc w:val="both"/>
              <w:rPr>
                <w:color w:val="00B050"/>
                <w:sz w:val="24"/>
                <w:szCs w:val="24"/>
              </w:rPr>
            </w:pPr>
            <w:r w:rsidRPr="00615A77">
              <w:rPr>
                <w:color w:val="00B050"/>
                <w:sz w:val="24"/>
                <w:szCs w:val="24"/>
              </w:rPr>
              <w:t>b) rolul strategic al Centrului Universitar în asigurarea accesului la învățământ superior;</w:t>
            </w:r>
          </w:p>
          <w:p w14:paraId="378C3A28" w14:textId="57990524" w:rsidR="00615A77" w:rsidRPr="00615A77" w:rsidRDefault="00615A77" w:rsidP="00615A77">
            <w:pPr>
              <w:jc w:val="both"/>
              <w:rPr>
                <w:color w:val="00B050"/>
                <w:sz w:val="24"/>
                <w:szCs w:val="24"/>
              </w:rPr>
            </w:pPr>
            <w:r w:rsidRPr="00615A77">
              <w:rPr>
                <w:color w:val="00B050"/>
                <w:sz w:val="24"/>
                <w:szCs w:val="24"/>
              </w:rPr>
              <w:t>c) costurile fixe de funcționare aferente programelor de studii cu frecvență.</w:t>
            </w:r>
          </w:p>
          <w:p w14:paraId="61FBB1E8" w14:textId="5E3C4BFE" w:rsidR="00615A77" w:rsidRPr="00615A77" w:rsidRDefault="00615A77" w:rsidP="00615A77">
            <w:pPr>
              <w:jc w:val="both"/>
              <w:rPr>
                <w:color w:val="00B050"/>
                <w:sz w:val="24"/>
                <w:szCs w:val="24"/>
              </w:rPr>
            </w:pPr>
            <w:r w:rsidRPr="00615A77">
              <w:rPr>
                <w:color w:val="00B050"/>
                <w:sz w:val="24"/>
                <w:szCs w:val="24"/>
              </w:rPr>
              <w:t>(3) Metodologia de aplicare a coeficientului de finanțare regională se aprobă de Ministerul Educației și Cercetării și se aplică pe o perioadă multianuală, cu asigurarea predictibilității financiare a Centrului Universitar.</w:t>
            </w:r>
          </w:p>
        </w:tc>
      </w:tr>
      <w:tr w:rsidR="001C4724" w:rsidRPr="00615A77" w14:paraId="77D1F1F8" w14:textId="77777777" w:rsidTr="001C4724">
        <w:tc>
          <w:tcPr>
            <w:tcW w:w="805" w:type="dxa"/>
          </w:tcPr>
          <w:p w14:paraId="5C37AF8C" w14:textId="171FA2D7" w:rsidR="001C4724" w:rsidRPr="00615A77" w:rsidRDefault="003E0D3F" w:rsidP="006C0B77">
            <w:pPr>
              <w:jc w:val="both"/>
              <w:rPr>
                <w:sz w:val="24"/>
                <w:szCs w:val="24"/>
              </w:rPr>
            </w:pPr>
            <w:r>
              <w:rPr>
                <w:sz w:val="24"/>
                <w:szCs w:val="24"/>
              </w:rPr>
              <w:t>5</w:t>
            </w:r>
          </w:p>
        </w:tc>
        <w:tc>
          <w:tcPr>
            <w:tcW w:w="6840" w:type="dxa"/>
          </w:tcPr>
          <w:p w14:paraId="5B687CDB" w14:textId="2B18D99A" w:rsidR="00F9264F" w:rsidRPr="00615A77" w:rsidRDefault="00F9264F" w:rsidP="00F9264F">
            <w:pPr>
              <w:jc w:val="both"/>
              <w:rPr>
                <w:rFonts w:eastAsia="Times New Roman" w:cs="Times New Roman"/>
                <w:color w:val="333333"/>
                <w:kern w:val="0"/>
                <w:sz w:val="24"/>
                <w:szCs w:val="24"/>
                <w:shd w:val="clear" w:color="auto" w:fill="FFFFFF"/>
                <w:lang w:eastAsia="ro-MD"/>
                <w14:ligatures w14:val="none"/>
              </w:rPr>
            </w:pPr>
            <w:r w:rsidRPr="00615A77">
              <w:rPr>
                <w:rFonts w:eastAsia="Times New Roman" w:cs="Times New Roman"/>
                <w:color w:val="333333"/>
                <w:kern w:val="0"/>
                <w:sz w:val="24"/>
                <w:szCs w:val="24"/>
                <w:shd w:val="clear" w:color="auto" w:fill="FFFFFF"/>
                <w:lang w:eastAsia="ro-MD"/>
                <w14:ligatures w14:val="none"/>
              </w:rPr>
              <w:t>16. La repartizarea locurilor cu finanțare de la bugetul de stat pentru Instituția Publică Universitatea Tehnică a Moldovei, Ministerul Educației și Cercetării va stabili, anal, o cotă distinctă pentru admiterea la domeniile generale de studii, la programele de studii autorizate provizoriu/acreditate, organizate în cadrul Centrului Universitar.</w:t>
            </w:r>
          </w:p>
          <w:p w14:paraId="5F567A81" w14:textId="77777777" w:rsidR="001C4724" w:rsidRPr="00615A77" w:rsidRDefault="001C4724" w:rsidP="006C0B77">
            <w:pPr>
              <w:jc w:val="both"/>
              <w:rPr>
                <w:sz w:val="24"/>
                <w:szCs w:val="24"/>
              </w:rPr>
            </w:pPr>
          </w:p>
        </w:tc>
        <w:tc>
          <w:tcPr>
            <w:tcW w:w="7239" w:type="dxa"/>
          </w:tcPr>
          <w:p w14:paraId="367DB947" w14:textId="510731D3" w:rsidR="00615A77" w:rsidRPr="00615A77" w:rsidRDefault="00615A77" w:rsidP="00615A77">
            <w:pPr>
              <w:jc w:val="both"/>
              <w:rPr>
                <w:sz w:val="24"/>
                <w:szCs w:val="24"/>
              </w:rPr>
            </w:pPr>
            <w:r w:rsidRPr="00615A77">
              <w:rPr>
                <w:sz w:val="24"/>
                <w:szCs w:val="24"/>
              </w:rPr>
              <w:t xml:space="preserve">16. (1) </w:t>
            </w:r>
            <w:r w:rsidRPr="00615A77">
              <w:rPr>
                <w:rFonts w:eastAsia="Times New Roman" w:cs="Times New Roman"/>
                <w:color w:val="333333"/>
                <w:kern w:val="0"/>
                <w:sz w:val="24"/>
                <w:szCs w:val="24"/>
                <w:shd w:val="clear" w:color="auto" w:fill="FFFFFF"/>
                <w:lang w:eastAsia="ro-MD"/>
                <w14:ligatures w14:val="none"/>
              </w:rPr>
              <w:t xml:space="preserve">La repartizarea locurilor cu finanțare de la bugetul de stat pentru Instituția Publică Universitatea Tehnică a Moldovei, Ministerul Educației și Cercetării va stabili, </w:t>
            </w:r>
            <w:r w:rsidRPr="00615A77">
              <w:rPr>
                <w:rFonts w:eastAsia="Times New Roman" w:cs="Times New Roman"/>
                <w:color w:val="00B050"/>
                <w:kern w:val="0"/>
                <w:sz w:val="24"/>
                <w:szCs w:val="24"/>
                <w:shd w:val="clear" w:color="auto" w:fill="FFFFFF"/>
                <w:lang w:eastAsia="ro-MD"/>
                <w14:ligatures w14:val="none"/>
              </w:rPr>
              <w:t>anual</w:t>
            </w:r>
            <w:r w:rsidRPr="00615A77">
              <w:rPr>
                <w:rFonts w:eastAsia="Times New Roman" w:cs="Times New Roman"/>
                <w:color w:val="333333"/>
                <w:kern w:val="0"/>
                <w:sz w:val="24"/>
                <w:szCs w:val="24"/>
                <w:shd w:val="clear" w:color="auto" w:fill="FFFFFF"/>
                <w:lang w:eastAsia="ro-MD"/>
                <w14:ligatures w14:val="none"/>
              </w:rPr>
              <w:t>, o cotă distinctă pentru admiterea la domeniile generale de studii, la programele de studii autorizate provizoriu/acreditate, organizate în cadrul Centrului Universitar.</w:t>
            </w:r>
          </w:p>
          <w:p w14:paraId="10399902" w14:textId="4660E22A" w:rsidR="00615A77" w:rsidRPr="00615A77" w:rsidRDefault="00615A77" w:rsidP="00615A77">
            <w:pPr>
              <w:jc w:val="both"/>
              <w:rPr>
                <w:color w:val="00B050"/>
                <w:sz w:val="24"/>
                <w:szCs w:val="24"/>
              </w:rPr>
            </w:pPr>
            <w:r w:rsidRPr="00615A77">
              <w:rPr>
                <w:color w:val="00B050"/>
                <w:sz w:val="24"/>
                <w:szCs w:val="24"/>
              </w:rPr>
              <w:t xml:space="preserve">(2) Cota distinctă prevăzută la alin. (1) nu poate fi mai mică decât media locurilor bugetare alocate Centrului Universitar în ultimii cinci ani </w:t>
            </w:r>
            <w:r w:rsidRPr="00615A77">
              <w:rPr>
                <w:color w:val="00B050"/>
                <w:sz w:val="24"/>
                <w:szCs w:val="24"/>
              </w:rPr>
              <w:lastRenderedPageBreak/>
              <w:t>anteriori intrării în vigoare a prezentei hotărâri, ajustată în funcție de evoluția cererii educaționale.</w:t>
            </w:r>
          </w:p>
          <w:p w14:paraId="0CAFAEC2" w14:textId="77777777" w:rsidR="00615A77" w:rsidRPr="00615A77" w:rsidRDefault="00615A77" w:rsidP="00615A77">
            <w:pPr>
              <w:jc w:val="both"/>
              <w:rPr>
                <w:color w:val="00B050"/>
                <w:sz w:val="24"/>
                <w:szCs w:val="24"/>
              </w:rPr>
            </w:pPr>
            <w:r w:rsidRPr="00615A77">
              <w:rPr>
                <w:color w:val="00B050"/>
                <w:sz w:val="24"/>
                <w:szCs w:val="24"/>
              </w:rPr>
              <w:t>(3) La stabilirea cotei distincte, Ministerul Educației și Cercetării va asigura, cu prioritate, finanțarea locurilor bugetare pentru studiile universitare cu frecvență, atât la ciclul I – licență, cât și la ciclul II – master.</w:t>
            </w:r>
          </w:p>
          <w:p w14:paraId="4ACFF176" w14:textId="77777777" w:rsidR="00615A77" w:rsidRPr="00615A77" w:rsidRDefault="00615A77" w:rsidP="00615A77">
            <w:pPr>
              <w:jc w:val="both"/>
              <w:rPr>
                <w:color w:val="00B050"/>
                <w:sz w:val="24"/>
                <w:szCs w:val="24"/>
              </w:rPr>
            </w:pPr>
            <w:r w:rsidRPr="00615A77">
              <w:rPr>
                <w:color w:val="00B050"/>
                <w:sz w:val="24"/>
                <w:szCs w:val="24"/>
              </w:rPr>
              <w:t>(4) Reducerea semnificativă a cotei distincte de locuri bugetare pentru Centrul Universitar poate avea loc doar în baza unei evaluări externe independente și cu consultarea autorităților publice locale și regionale din municipiul Cahul.</w:t>
            </w:r>
          </w:p>
          <w:p w14:paraId="13A68F3E" w14:textId="77777777" w:rsidR="001C4724" w:rsidRPr="00615A77" w:rsidRDefault="001C4724" w:rsidP="006C0B77">
            <w:pPr>
              <w:jc w:val="both"/>
              <w:rPr>
                <w:sz w:val="24"/>
                <w:szCs w:val="24"/>
              </w:rPr>
            </w:pPr>
          </w:p>
        </w:tc>
      </w:tr>
    </w:tbl>
    <w:p w14:paraId="20859F1E" w14:textId="77777777" w:rsidR="00F12C76" w:rsidRPr="00615A77" w:rsidRDefault="00F12C76" w:rsidP="006C0B77">
      <w:pPr>
        <w:spacing w:after="0"/>
        <w:ind w:firstLine="709"/>
        <w:jc w:val="both"/>
      </w:pPr>
    </w:p>
    <w:sectPr w:rsidR="00F12C76" w:rsidRPr="00615A77" w:rsidSect="001C4724">
      <w:pgSz w:w="16838" w:h="11906" w:orient="landscape" w:code="9"/>
      <w:pgMar w:top="1170" w:right="1134" w:bottom="851" w:left="81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2325"/>
    <w:multiLevelType w:val="multilevel"/>
    <w:tmpl w:val="CEBEFBEC"/>
    <w:lvl w:ilvl="0">
      <w:start w:val="1"/>
      <w:numFmt w:val="decimal"/>
      <w:lvlText w:val="%1."/>
      <w:lvlJc w:val="left"/>
      <w:pPr>
        <w:ind w:left="1211" w:hanging="360"/>
      </w:pPr>
      <w:rPr>
        <w:rFonts w:hint="default"/>
        <w:b w:val="0"/>
        <w:bCs/>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DA55FBE"/>
    <w:multiLevelType w:val="hybridMultilevel"/>
    <w:tmpl w:val="C5FA83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307041"/>
    <w:multiLevelType w:val="hybridMultilevel"/>
    <w:tmpl w:val="B61E28A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339E7"/>
    <w:multiLevelType w:val="hybridMultilevel"/>
    <w:tmpl w:val="ADDC7F8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F95C11"/>
    <w:multiLevelType w:val="hybridMultilevel"/>
    <w:tmpl w:val="DC16E28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444041">
    <w:abstractNumId w:val="0"/>
  </w:num>
  <w:num w:numId="2" w16cid:durableId="572667695">
    <w:abstractNumId w:val="3"/>
  </w:num>
  <w:num w:numId="3" w16cid:durableId="1761758402">
    <w:abstractNumId w:val="4"/>
  </w:num>
  <w:num w:numId="4" w16cid:durableId="1134248669">
    <w:abstractNumId w:val="2"/>
  </w:num>
  <w:num w:numId="5" w16cid:durableId="66728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7C"/>
    <w:rsid w:val="0012789F"/>
    <w:rsid w:val="001C4724"/>
    <w:rsid w:val="0035507C"/>
    <w:rsid w:val="003A7724"/>
    <w:rsid w:val="003E0D3F"/>
    <w:rsid w:val="00615A77"/>
    <w:rsid w:val="006C0B77"/>
    <w:rsid w:val="008242FF"/>
    <w:rsid w:val="00870751"/>
    <w:rsid w:val="00922C48"/>
    <w:rsid w:val="00B915B7"/>
    <w:rsid w:val="00CF1B1B"/>
    <w:rsid w:val="00EA59DF"/>
    <w:rsid w:val="00EE4070"/>
    <w:rsid w:val="00F12C76"/>
    <w:rsid w:val="00F92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D3C5"/>
  <w15:chartTrackingRefBased/>
  <w15:docId w15:val="{589DCAB5-7471-4E5F-9454-85B76F0F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lang w:val="ro-MD"/>
    </w:rPr>
  </w:style>
  <w:style w:type="paragraph" w:styleId="Titlu1">
    <w:name w:val="heading 1"/>
    <w:basedOn w:val="Normal"/>
    <w:next w:val="Normal"/>
    <w:link w:val="Titlu1Caracter"/>
    <w:uiPriority w:val="9"/>
    <w:qFormat/>
    <w:rsid w:val="003550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3550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35507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35507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35507C"/>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3550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35507C"/>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35507C"/>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35507C"/>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5507C"/>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35507C"/>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35507C"/>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35507C"/>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35507C"/>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35507C"/>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35507C"/>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35507C"/>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35507C"/>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35507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5507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5507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35507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5507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5507C"/>
    <w:rPr>
      <w:rFonts w:ascii="Times New Roman" w:hAnsi="Times New Roman"/>
      <w:i/>
      <w:iCs/>
      <w:color w:val="404040" w:themeColor="text1" w:themeTint="BF"/>
      <w:sz w:val="28"/>
    </w:rPr>
  </w:style>
  <w:style w:type="paragraph" w:styleId="Listparagraf">
    <w:name w:val="List Paragraph"/>
    <w:basedOn w:val="Normal"/>
    <w:uiPriority w:val="34"/>
    <w:qFormat/>
    <w:rsid w:val="0035507C"/>
    <w:pPr>
      <w:ind w:left="720"/>
      <w:contextualSpacing/>
    </w:pPr>
  </w:style>
  <w:style w:type="character" w:styleId="Accentuareintens">
    <w:name w:val="Intense Emphasis"/>
    <w:basedOn w:val="Fontdeparagrafimplicit"/>
    <w:uiPriority w:val="21"/>
    <w:qFormat/>
    <w:rsid w:val="0035507C"/>
    <w:rPr>
      <w:i/>
      <w:iCs/>
      <w:color w:val="2E74B5" w:themeColor="accent1" w:themeShade="BF"/>
    </w:rPr>
  </w:style>
  <w:style w:type="paragraph" w:styleId="Citatintens">
    <w:name w:val="Intense Quote"/>
    <w:basedOn w:val="Normal"/>
    <w:next w:val="Normal"/>
    <w:link w:val="CitatintensCaracter"/>
    <w:uiPriority w:val="30"/>
    <w:qFormat/>
    <w:rsid w:val="003550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35507C"/>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35507C"/>
    <w:rPr>
      <w:b/>
      <w:bCs/>
      <w:smallCaps/>
      <w:color w:val="2E74B5" w:themeColor="accent1" w:themeShade="BF"/>
      <w:spacing w:val="5"/>
    </w:rPr>
  </w:style>
  <w:style w:type="table" w:styleId="Tabelgril">
    <w:name w:val="Table Grid"/>
    <w:basedOn w:val="TabelNormal"/>
    <w:uiPriority w:val="39"/>
    <w:rsid w:val="001C4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264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908</Words>
  <Characters>5181</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2026-01-03T12:56:00Z</dcterms:created>
  <dcterms:modified xsi:type="dcterms:W3CDTF">2026-01-03T13:40:00Z</dcterms:modified>
</cp:coreProperties>
</file>