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025" w:type="dxa"/>
        <w:tblLook w:val="04A0" w:firstRow="1" w:lastRow="0" w:firstColumn="1" w:lastColumn="0" w:noHBand="0" w:noVBand="1"/>
      </w:tblPr>
      <w:tblGrid>
        <w:gridCol w:w="2086"/>
        <w:gridCol w:w="6798"/>
        <w:gridCol w:w="6141"/>
      </w:tblGrid>
      <w:tr w:rsidR="00D56C73" w:rsidRPr="00A660FA" w14:paraId="56E1B44D" w14:textId="77777777" w:rsidTr="00AD6633">
        <w:trPr>
          <w:trHeight w:val="170"/>
        </w:trPr>
        <w:tc>
          <w:tcPr>
            <w:tcW w:w="2086" w:type="dxa"/>
            <w:shd w:val="clear" w:color="auto" w:fill="C1E4F5" w:themeFill="accent1" w:themeFillTint="33"/>
          </w:tcPr>
          <w:p w14:paraId="6AE137AB" w14:textId="017FE160" w:rsidR="00D56C73" w:rsidRPr="00A660FA" w:rsidRDefault="00AD6633">
            <w:pPr>
              <w:rPr>
                <w:rFonts w:ascii="Calibri" w:hAnsi="Calibri" w:cs="Calibri"/>
                <w:b/>
                <w:bCs/>
                <w:sz w:val="22"/>
                <w:szCs w:val="22"/>
                <w:lang w:val="en-US"/>
              </w:rPr>
            </w:pPr>
            <w:r w:rsidRPr="00AD6633">
              <w:rPr>
                <w:rFonts w:ascii="Calibri" w:hAnsi="Calibri" w:cs="Calibri"/>
                <w:b/>
                <w:bCs/>
                <w:sz w:val="22"/>
                <w:szCs w:val="22"/>
              </w:rPr>
              <w:t>Lege modificată</w:t>
            </w:r>
          </w:p>
        </w:tc>
        <w:tc>
          <w:tcPr>
            <w:tcW w:w="6798" w:type="dxa"/>
            <w:shd w:val="clear" w:color="auto" w:fill="C1E4F5" w:themeFill="accent1" w:themeFillTint="33"/>
          </w:tcPr>
          <w:p w14:paraId="5D218ECF" w14:textId="3D504703" w:rsidR="00D56C73" w:rsidRPr="00A660FA" w:rsidRDefault="00AD6633">
            <w:pPr>
              <w:rPr>
                <w:rFonts w:ascii="Calibri" w:hAnsi="Calibri" w:cs="Calibri"/>
                <w:b/>
                <w:bCs/>
                <w:sz w:val="22"/>
                <w:szCs w:val="22"/>
                <w:lang w:val="en-US"/>
              </w:rPr>
            </w:pPr>
            <w:r w:rsidRPr="00AD6633">
              <w:rPr>
                <w:rFonts w:ascii="Calibri" w:hAnsi="Calibri" w:cs="Calibri"/>
                <w:b/>
                <w:bCs/>
                <w:sz w:val="22"/>
                <w:szCs w:val="22"/>
              </w:rPr>
              <w:t>Modificare propusă</w:t>
            </w:r>
          </w:p>
        </w:tc>
        <w:tc>
          <w:tcPr>
            <w:tcW w:w="6141" w:type="dxa"/>
            <w:shd w:val="clear" w:color="auto" w:fill="C1E4F5" w:themeFill="accent1" w:themeFillTint="33"/>
          </w:tcPr>
          <w:p w14:paraId="6B70866B" w14:textId="75FB078C" w:rsidR="00D56C73" w:rsidRPr="00A660FA" w:rsidRDefault="00AD6633">
            <w:pPr>
              <w:rPr>
                <w:rFonts w:ascii="Calibri" w:hAnsi="Calibri" w:cs="Calibri"/>
                <w:b/>
                <w:bCs/>
                <w:sz w:val="22"/>
                <w:szCs w:val="22"/>
                <w:lang w:val="en-US"/>
              </w:rPr>
            </w:pPr>
            <w:r w:rsidRPr="00AD6633">
              <w:rPr>
                <w:rFonts w:ascii="Calibri" w:hAnsi="Calibri" w:cs="Calibri"/>
                <w:b/>
                <w:bCs/>
                <w:sz w:val="22"/>
                <w:szCs w:val="22"/>
              </w:rPr>
              <w:t>Comentariile și recomandările OHCHR</w:t>
            </w:r>
          </w:p>
        </w:tc>
      </w:tr>
      <w:tr w:rsidR="00D56C73" w:rsidRPr="004256D3" w14:paraId="28FACDCB" w14:textId="77777777" w:rsidTr="00FD1F68">
        <w:tc>
          <w:tcPr>
            <w:tcW w:w="2086" w:type="dxa"/>
          </w:tcPr>
          <w:p w14:paraId="54261FD9" w14:textId="44ADB2B5" w:rsidR="00D56C73" w:rsidRPr="00A660FA" w:rsidRDefault="00AD6633" w:rsidP="00026C39">
            <w:pPr>
              <w:rPr>
                <w:rFonts w:ascii="Calibri" w:hAnsi="Calibri" w:cs="Calibri"/>
                <w:sz w:val="22"/>
                <w:szCs w:val="22"/>
                <w:lang w:val="en-US"/>
              </w:rPr>
            </w:pPr>
            <w:r w:rsidRPr="00AD6633">
              <w:rPr>
                <w:rFonts w:ascii="Calibri" w:hAnsi="Calibri" w:cs="Calibri"/>
                <w:sz w:val="22"/>
                <w:szCs w:val="22"/>
              </w:rPr>
              <w:t>Legea nr. 274/2011 Art. 3 (definiții)</w:t>
            </w:r>
          </w:p>
        </w:tc>
        <w:tc>
          <w:tcPr>
            <w:tcW w:w="6798" w:type="dxa"/>
          </w:tcPr>
          <w:p w14:paraId="7D016E3D" w14:textId="77777777" w:rsidR="00AD6633" w:rsidRPr="00AD6633" w:rsidRDefault="00AD6633" w:rsidP="00AD6633">
            <w:pPr>
              <w:spacing w:after="60"/>
              <w:rPr>
                <w:rFonts w:ascii="Calibri" w:eastAsia="Arial" w:hAnsi="Calibri" w:cs="Calibri"/>
                <w:sz w:val="22"/>
                <w:szCs w:val="22"/>
                <w:lang w:val="en-US"/>
              </w:rPr>
            </w:pPr>
            <w:r w:rsidRPr="00AD6633">
              <w:rPr>
                <w:rFonts w:ascii="Calibri" w:eastAsia="Arial" w:hAnsi="Calibri" w:cs="Calibri"/>
                <w:sz w:val="22"/>
                <w:szCs w:val="22"/>
                <w:lang w:val="en-US"/>
              </w:rPr>
              <w:t>Au fost introduse definiții noi și revizuite, inclusiv:</w:t>
            </w:r>
          </w:p>
          <w:p w14:paraId="3AEF14AB" w14:textId="77777777" w:rsidR="00AD6633" w:rsidRPr="00AD6633" w:rsidRDefault="00AD6633" w:rsidP="00AD6633">
            <w:pPr>
              <w:numPr>
                <w:ilvl w:val="0"/>
                <w:numId w:val="1"/>
              </w:numPr>
              <w:spacing w:after="60"/>
              <w:rPr>
                <w:rFonts w:ascii="Calibri" w:eastAsia="Arial" w:hAnsi="Calibri" w:cs="Calibri"/>
                <w:sz w:val="22"/>
                <w:szCs w:val="22"/>
                <w:lang w:val="en-US"/>
              </w:rPr>
            </w:pPr>
            <w:r w:rsidRPr="00AD6633">
              <w:rPr>
                <w:rFonts w:ascii="Calibri" w:eastAsia="Arial" w:hAnsi="Calibri" w:cs="Calibri"/>
                <w:sz w:val="22"/>
                <w:szCs w:val="22"/>
                <w:lang w:val="en-US"/>
              </w:rPr>
              <w:t>„măsuri de integrare”, „activități de integrare”, „programe de integrare”;</w:t>
            </w:r>
          </w:p>
          <w:p w14:paraId="00F8BD5D" w14:textId="77777777" w:rsidR="00AD6633" w:rsidRPr="00AD6633" w:rsidRDefault="00AD6633" w:rsidP="00AD6633">
            <w:pPr>
              <w:numPr>
                <w:ilvl w:val="0"/>
                <w:numId w:val="1"/>
              </w:numPr>
              <w:spacing w:after="60"/>
              <w:rPr>
                <w:rFonts w:ascii="Calibri" w:eastAsia="Arial" w:hAnsi="Calibri" w:cs="Calibri"/>
                <w:sz w:val="22"/>
                <w:szCs w:val="22"/>
                <w:lang w:val="en-US"/>
              </w:rPr>
            </w:pPr>
            <w:r w:rsidRPr="00AD6633">
              <w:rPr>
                <w:rFonts w:ascii="Calibri" w:eastAsia="Arial" w:hAnsi="Calibri" w:cs="Calibri"/>
                <w:sz w:val="22"/>
                <w:szCs w:val="22"/>
                <w:lang w:val="en-US"/>
              </w:rPr>
              <w:t>„centre pentru integrarea străinilor”;</w:t>
            </w:r>
          </w:p>
          <w:p w14:paraId="61855912" w14:textId="77777777" w:rsidR="00AD6633" w:rsidRPr="00AD6633" w:rsidRDefault="00AD6633" w:rsidP="00AD6633">
            <w:pPr>
              <w:numPr>
                <w:ilvl w:val="0"/>
                <w:numId w:val="1"/>
              </w:numPr>
              <w:spacing w:after="60"/>
              <w:rPr>
                <w:rFonts w:ascii="Calibri" w:eastAsia="Arial" w:hAnsi="Calibri" w:cs="Calibri"/>
                <w:sz w:val="22"/>
                <w:szCs w:val="22"/>
                <w:lang w:val="en-US"/>
              </w:rPr>
            </w:pPr>
            <w:r w:rsidRPr="00AD6633">
              <w:rPr>
                <w:rFonts w:ascii="Calibri" w:eastAsia="Arial" w:hAnsi="Calibri" w:cs="Calibri"/>
                <w:sz w:val="22"/>
                <w:szCs w:val="22"/>
                <w:lang w:val="en-US"/>
              </w:rPr>
              <w:t>„beneficiari ai protecției internaționale sau ai azilului politic cu nevoi speciale” — incluzând copiii, minorii neînsoțiți, familiile monoparentale, persoanele cu dizabilități, femeile însărcinate, victimele traficului de persoane, persoanele cu afecțiuni de sănătate mintală, supraviețuitorii torturii/violului, victimele violenței domestice și pensionarii;</w:t>
            </w:r>
          </w:p>
          <w:p w14:paraId="53B701E6" w14:textId="77777777" w:rsidR="00AD6633" w:rsidRPr="00AD6633" w:rsidRDefault="00AD6633" w:rsidP="00AD6633">
            <w:pPr>
              <w:numPr>
                <w:ilvl w:val="0"/>
                <w:numId w:val="1"/>
              </w:numPr>
              <w:spacing w:after="60"/>
              <w:rPr>
                <w:rFonts w:ascii="Calibri" w:eastAsia="Arial" w:hAnsi="Calibri" w:cs="Calibri"/>
                <w:sz w:val="22"/>
                <w:szCs w:val="22"/>
                <w:lang w:val="en-US"/>
              </w:rPr>
            </w:pPr>
            <w:r w:rsidRPr="00AD6633">
              <w:rPr>
                <w:rFonts w:ascii="Calibri" w:eastAsia="Arial" w:hAnsi="Calibri" w:cs="Calibri"/>
                <w:sz w:val="22"/>
                <w:szCs w:val="22"/>
                <w:lang w:val="en-US"/>
              </w:rPr>
              <w:t>„nevoi individuale”.</w:t>
            </w:r>
          </w:p>
          <w:p w14:paraId="2ED0AB40" w14:textId="77777777" w:rsidR="00AD6633" w:rsidRPr="00AD6633" w:rsidRDefault="00AD6633" w:rsidP="00AD6633">
            <w:pPr>
              <w:spacing w:after="60"/>
              <w:rPr>
                <w:rFonts w:ascii="Calibri" w:eastAsia="Arial" w:hAnsi="Calibri" w:cs="Calibri"/>
                <w:sz w:val="22"/>
                <w:szCs w:val="22"/>
                <w:lang w:val="en-US"/>
              </w:rPr>
            </w:pPr>
            <w:r w:rsidRPr="00AD6633">
              <w:rPr>
                <w:rFonts w:ascii="Calibri" w:eastAsia="Arial" w:hAnsi="Calibri" w:cs="Calibri"/>
                <w:sz w:val="22"/>
                <w:szCs w:val="22"/>
                <w:lang w:val="en-US"/>
              </w:rPr>
              <w:t>Termenul „minor” a fost înlocuit cu „copil” în întregul text; „ONG-uri” și „organizații internaționale” au fost înlocuite cu termenul unificat „organizații necomerciale naționale sau internaționale”.</w:t>
            </w:r>
          </w:p>
          <w:p w14:paraId="255523C2" w14:textId="78CA1E83" w:rsidR="00D56C73" w:rsidRPr="00A660FA" w:rsidRDefault="00D56C73" w:rsidP="236363EE">
            <w:pPr>
              <w:spacing w:after="60"/>
              <w:rPr>
                <w:rFonts w:ascii="Calibri" w:eastAsia="Arial" w:hAnsi="Calibri" w:cs="Calibri"/>
                <w:sz w:val="22"/>
                <w:szCs w:val="22"/>
                <w:lang w:val="en-US"/>
              </w:rPr>
            </w:pPr>
          </w:p>
        </w:tc>
        <w:tc>
          <w:tcPr>
            <w:tcW w:w="6141" w:type="dxa"/>
          </w:tcPr>
          <w:p w14:paraId="0B6EAA3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definiția cuprinzătoare a „beneficiarilor cu nevoi speciale”.</w:t>
            </w:r>
          </w:p>
          <w:p w14:paraId="2F83B8F9"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Adăugarea persoanelor LGBTQ+ și a persoanelor aparținând minorităților etnice sau religioase în lista persoanelor cu nevoi speciale, întrucât acestea se confruntă cu vulnerabilități specifice în procesul de integrare, care nu sunt în prezent reflectate. Definiția „nevoilor individuale” ar trebui să includă în mod explicit factorii legați de traumă și aspectele psihologice.</w:t>
            </w:r>
          </w:p>
          <w:p w14:paraId="55A0B860" w14:textId="743343C7" w:rsidR="00D56C73" w:rsidRPr="00A660FA" w:rsidRDefault="00D56C73" w:rsidP="003F53BF">
            <w:pPr>
              <w:rPr>
                <w:rFonts w:ascii="Calibri" w:hAnsi="Calibri" w:cs="Calibri"/>
                <w:sz w:val="22"/>
                <w:szCs w:val="22"/>
                <w:lang w:val="en-US"/>
              </w:rPr>
            </w:pPr>
          </w:p>
        </w:tc>
      </w:tr>
      <w:tr w:rsidR="00A76F18" w:rsidRPr="004256D3" w14:paraId="030EB745" w14:textId="77777777" w:rsidTr="00FD1F68">
        <w:tc>
          <w:tcPr>
            <w:tcW w:w="2086" w:type="dxa"/>
          </w:tcPr>
          <w:p w14:paraId="706EFC12" w14:textId="3BFD3101" w:rsidR="00A76F18" w:rsidRPr="00A660FA" w:rsidRDefault="00EC7137" w:rsidP="00A76F18">
            <w:pPr>
              <w:rPr>
                <w:rFonts w:ascii="Calibri" w:hAnsi="Calibri" w:cs="Calibri"/>
                <w:sz w:val="22"/>
                <w:szCs w:val="22"/>
                <w:lang w:val="en-US"/>
              </w:rPr>
            </w:pPr>
            <w:r w:rsidRPr="00EC7137">
              <w:rPr>
                <w:rFonts w:ascii="Calibri" w:hAnsi="Calibri" w:cs="Calibri"/>
                <w:sz w:val="22"/>
                <w:szCs w:val="22"/>
              </w:rPr>
              <w:t>Legea nr. 274/2011 Art. 4 (principii)</w:t>
            </w:r>
          </w:p>
        </w:tc>
        <w:tc>
          <w:tcPr>
            <w:tcW w:w="6798" w:type="dxa"/>
          </w:tcPr>
          <w:p w14:paraId="31ABFCC0" w14:textId="77777777"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sz w:val="22"/>
                <w:szCs w:val="22"/>
                <w:lang w:val="en-US"/>
              </w:rPr>
              <w:t>Art. 4 alin. (1) a fost modificat pentru a include principiile legalității și respectării drepturilor și libertăților fundamentale printre principiile directoare ale integrării.</w:t>
            </w:r>
          </w:p>
          <w:p w14:paraId="2E0C1F01" w14:textId="77777777"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sz w:val="22"/>
                <w:szCs w:val="22"/>
                <w:lang w:val="en-US"/>
              </w:rPr>
              <w:t>Noul art. 4 alin. (3): integrarea trebuie implementată prin evaluarea individuală a fiecărui caz, ținând cont de statutul juridic, durata șederii, nevoile individuale, vulnerabilitățile și perspectivele de integrare.</w:t>
            </w:r>
          </w:p>
          <w:p w14:paraId="6CC91FB8" w14:textId="268E06EA" w:rsidR="00A76F18" w:rsidRPr="00A660FA" w:rsidRDefault="00A76F18" w:rsidP="00A76F18">
            <w:pPr>
              <w:rPr>
                <w:rFonts w:ascii="Calibri" w:hAnsi="Calibri" w:cs="Calibri"/>
                <w:sz w:val="22"/>
                <w:szCs w:val="22"/>
                <w:lang w:val="en-US"/>
              </w:rPr>
            </w:pPr>
          </w:p>
        </w:tc>
        <w:tc>
          <w:tcPr>
            <w:tcW w:w="6141" w:type="dxa"/>
          </w:tcPr>
          <w:p w14:paraId="72003FAA"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ferm ambele completări, care fundamentează cadrul de integrare pe o abordare bazată pe drepturile omului.</w:t>
            </w:r>
          </w:p>
          <w:p w14:paraId="0E974031"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Art. 4 ar trebui să facă referire explicită și la principiul nereturnării (Convenția privind statutul refugiaților din 1951, art. 33) și la interesul superior al copilului (Convenția ONU privind drepturile copilului, art. 3) ca principii generale aplicabile tuturor măsurilor de integrare și interpretării acestora.</w:t>
            </w:r>
          </w:p>
          <w:p w14:paraId="7AD2C64F" w14:textId="4B1EA72D" w:rsidR="00A76F18" w:rsidRPr="00A660FA" w:rsidRDefault="00A76F18" w:rsidP="00A76F18">
            <w:pPr>
              <w:rPr>
                <w:rFonts w:ascii="Calibri" w:hAnsi="Calibri" w:cs="Calibri"/>
                <w:sz w:val="22"/>
                <w:szCs w:val="22"/>
                <w:lang w:val="en-US"/>
              </w:rPr>
            </w:pPr>
          </w:p>
        </w:tc>
      </w:tr>
      <w:tr w:rsidR="00CC3724" w:rsidRPr="004256D3" w14:paraId="7B8C60B6" w14:textId="77777777" w:rsidTr="00FD1F68">
        <w:tc>
          <w:tcPr>
            <w:tcW w:w="2086" w:type="dxa"/>
          </w:tcPr>
          <w:p w14:paraId="5C7DC2F6" w14:textId="33893F24" w:rsidR="00CC3724" w:rsidRPr="00A660FA" w:rsidRDefault="00EC7137" w:rsidP="00CC3724">
            <w:pPr>
              <w:rPr>
                <w:rFonts w:ascii="Calibri" w:hAnsi="Calibri" w:cs="Calibri"/>
                <w:sz w:val="22"/>
                <w:szCs w:val="22"/>
                <w:lang w:val="en-US"/>
              </w:rPr>
            </w:pPr>
            <w:r w:rsidRPr="00EC7137">
              <w:rPr>
                <w:rFonts w:ascii="Calibri" w:hAnsi="Calibri" w:cs="Calibri"/>
                <w:sz w:val="22"/>
                <w:szCs w:val="22"/>
                <w:lang w:val="en-US"/>
              </w:rPr>
              <w:t>Legea nr. 274/2011 Art. 6 (cazuri speciale)</w:t>
            </w:r>
          </w:p>
        </w:tc>
        <w:tc>
          <w:tcPr>
            <w:tcW w:w="6798" w:type="dxa"/>
          </w:tcPr>
          <w:p w14:paraId="5FAD443D" w14:textId="6A622AA4" w:rsidR="00CC3724" w:rsidRPr="00EC7137" w:rsidRDefault="00EC7137" w:rsidP="00CC3724">
            <w:pPr>
              <w:spacing w:after="60"/>
              <w:rPr>
                <w:rFonts w:ascii="Calibri" w:eastAsia="Arial" w:hAnsi="Calibri" w:cs="Calibri"/>
                <w:sz w:val="22"/>
                <w:szCs w:val="22"/>
                <w:lang w:val="en-US"/>
              </w:rPr>
            </w:pPr>
            <w:r w:rsidRPr="00EC7137">
              <w:rPr>
                <w:rFonts w:ascii="Calibri" w:eastAsia="Arial" w:hAnsi="Calibri" w:cs="Calibri"/>
                <w:sz w:val="22"/>
                <w:szCs w:val="22"/>
                <w:lang w:val="en-US"/>
              </w:rPr>
              <w:t>Articolul 6 a fost înlocuit integral. Beneficiarii protecției internaționale sau ai azilului politic cu nevoi speciale, care au o capacitate redusă de autosusținere din cauza unor factori obiectivi independenți de voința lor, beneficiază de acces egal și echitabil la asistență, similar cetățenilor Republicii Moldova.</w:t>
            </w:r>
          </w:p>
        </w:tc>
        <w:tc>
          <w:tcPr>
            <w:tcW w:w="6141" w:type="dxa"/>
          </w:tcPr>
          <w:p w14:paraId="541B23A1"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standardul egalității de tratament. Totuși, formularea „condiționată de factori obiectivi independenți de voința lor” poate impune o sarcină probatorie excesivă asupra beneficiarilor vulnerabili, în special asupra supraviețuitorilor traumelor sau violenței psihologice, pentru a demonstra caracterul involuntar al situației lor.</w:t>
            </w:r>
          </w:p>
          <w:p w14:paraId="151FAF14" w14:textId="206B8CF0" w:rsidR="00CC3724" w:rsidRPr="00A660FA" w:rsidRDefault="00EC7137" w:rsidP="00CC3724">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Eliminarea sau atenuarea acestei formulări. Evaluarea capacității reduse de autosusținere ar trebui să includă trauma, factorii psihologici și barierele structurale, fără a solicita persoanei să demonstreze că circumstanțele sunt în totalitate independente de voința sa.</w:t>
            </w:r>
          </w:p>
        </w:tc>
      </w:tr>
      <w:tr w:rsidR="006648C9" w:rsidRPr="004256D3" w14:paraId="63378991" w14:textId="77777777" w:rsidTr="00FD1F68">
        <w:tc>
          <w:tcPr>
            <w:tcW w:w="2086" w:type="dxa"/>
          </w:tcPr>
          <w:p w14:paraId="16C326D8" w14:textId="3363390D" w:rsidR="006648C9" w:rsidRPr="00A660FA" w:rsidRDefault="00EC7137" w:rsidP="00AB0291">
            <w:pPr>
              <w:rPr>
                <w:rFonts w:ascii="Calibri" w:hAnsi="Calibri" w:cs="Calibri"/>
                <w:sz w:val="22"/>
                <w:szCs w:val="22"/>
                <w:lang w:val="en-US"/>
              </w:rPr>
            </w:pPr>
            <w:r w:rsidRPr="00EC7137">
              <w:rPr>
                <w:rFonts w:ascii="Calibri" w:hAnsi="Calibri" w:cs="Calibri"/>
                <w:sz w:val="22"/>
                <w:szCs w:val="22"/>
              </w:rPr>
              <w:lastRenderedPageBreak/>
              <w:t>Legea nr. 274/2011 Art. 8 (dreptul la informare)</w:t>
            </w:r>
          </w:p>
        </w:tc>
        <w:tc>
          <w:tcPr>
            <w:tcW w:w="6798" w:type="dxa"/>
          </w:tcPr>
          <w:p w14:paraId="57B5DC0C" w14:textId="117F907B" w:rsidR="006648C9" w:rsidRPr="00EC7137" w:rsidRDefault="00EC7137" w:rsidP="00CC3724">
            <w:pPr>
              <w:spacing w:after="60"/>
              <w:rPr>
                <w:rFonts w:ascii="Calibri" w:eastAsia="Arial" w:hAnsi="Calibri" w:cs="Calibri"/>
                <w:sz w:val="22"/>
                <w:szCs w:val="22"/>
                <w:lang w:val="en-US"/>
              </w:rPr>
            </w:pPr>
            <w:r w:rsidRPr="00EC7137">
              <w:rPr>
                <w:rFonts w:ascii="Calibri" w:eastAsia="Arial" w:hAnsi="Calibri" w:cs="Calibri"/>
                <w:sz w:val="22"/>
                <w:szCs w:val="22"/>
                <w:lang w:val="en-US"/>
              </w:rPr>
              <w:t>Străinii trebuie informați despre drepturile, obligațiile și măsurile de integrare disponibile într-o limbă pe care o cunosc sau despre care se poate presupune în mod rezonabil că o înțeleg — din momentul obținerii dreptului de ședere, statutului de apatrid sau protecției internaționale.</w:t>
            </w:r>
          </w:p>
        </w:tc>
        <w:tc>
          <w:tcPr>
            <w:tcW w:w="6141" w:type="dxa"/>
          </w:tcPr>
          <w:p w14:paraId="51262BA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ferm această modificare, care răspunde unei lacune persistente privind accesul la informație pentru refugiați și solicitanții de azil.</w:t>
            </w:r>
          </w:p>
          <w:p w14:paraId="76C79F4F" w14:textId="1792DD58" w:rsidR="006648C9" w:rsidRPr="00A660FA" w:rsidRDefault="00EC7137" w:rsidP="00070B72">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Regulamentele de implementare ar trebui să prevadă că: (a) informațiile trebuie furnizate atât în scris, cât și oral; (b) acestea trebuie oferite cât mai curând posibil după acordarea statutului; (c) trebuie utilizate formate accesibile (audio, vizuale) pentru persoanele care nu pot citi. Obligația ar trebui extinsă și asupra solicitanților de azil din momentul depunerii cererii, în conformitate cu standardele Directivei UE privind condițiile de primire.</w:t>
            </w:r>
          </w:p>
        </w:tc>
      </w:tr>
      <w:tr w:rsidR="00302D7A" w:rsidRPr="004256D3" w14:paraId="18A2686B" w14:textId="77777777" w:rsidTr="00FD1F68">
        <w:tc>
          <w:tcPr>
            <w:tcW w:w="2086" w:type="dxa"/>
          </w:tcPr>
          <w:p w14:paraId="3D9312B7" w14:textId="1FE3FD2E" w:rsidR="00302D7A" w:rsidRPr="00EC7137" w:rsidRDefault="00EC7137" w:rsidP="00302D7A">
            <w:pPr>
              <w:rPr>
                <w:rFonts w:ascii="Calibri" w:hAnsi="Calibri" w:cs="Calibri"/>
                <w:sz w:val="22"/>
                <w:szCs w:val="22"/>
                <w:lang w:val="de-AT"/>
              </w:rPr>
            </w:pPr>
            <w:r w:rsidRPr="00EC7137">
              <w:rPr>
                <w:rFonts w:ascii="Calibri" w:hAnsi="Calibri" w:cs="Calibri"/>
                <w:sz w:val="22"/>
                <w:szCs w:val="22"/>
                <w:lang w:val="de-AT"/>
              </w:rPr>
              <w:t>Legea nr. 274/2011 Art. 21, 22 și 34 (Grupul de lucru interinstituțional)</w:t>
            </w:r>
          </w:p>
        </w:tc>
        <w:tc>
          <w:tcPr>
            <w:tcW w:w="6798" w:type="dxa"/>
          </w:tcPr>
          <w:p w14:paraId="243AAA04" w14:textId="1BE022BE"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sz w:val="22"/>
                <w:szCs w:val="22"/>
                <w:lang w:val="en-US"/>
              </w:rPr>
              <w:t>Art. 21 alin. (4¹): termen de 7 zile pentru realizarea interviului beneficiarilor cu nevoi speciale de la data înregistrării cererii de integrare. Membrii Grupului de lucru pot fi invitați să participe.</w:t>
            </w:r>
          </w:p>
          <w:p w14:paraId="79992EEC" w14:textId="318C37B0"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sz w:val="22"/>
                <w:szCs w:val="22"/>
                <w:lang w:val="en-US"/>
              </w:rPr>
              <w:t>Art. 22 (revizuit): planuri individuale de integrare elaborate pe baza nevoilor identificate în cadrul interviului, care includ adaptarea socioculturală, învățarea limbii române, accesul la piața muncii și educație. În cazurile complexe sau care implică nevoi speciale, Grupul de lucru poate participa la elaborarea planului individual de integrare.</w:t>
            </w:r>
          </w:p>
          <w:p w14:paraId="4E41D244" w14:textId="6664E5E2" w:rsidR="00302D7A" w:rsidRPr="00A660FA" w:rsidRDefault="00EC7137" w:rsidP="00EC7137">
            <w:pPr>
              <w:spacing w:after="60"/>
              <w:rPr>
                <w:rFonts w:ascii="Calibri" w:eastAsia="Arial" w:hAnsi="Calibri" w:cs="Calibri"/>
                <w:sz w:val="22"/>
                <w:szCs w:val="22"/>
                <w:lang w:val="en-US"/>
              </w:rPr>
            </w:pPr>
            <w:r w:rsidRPr="00EC7137">
              <w:rPr>
                <w:rFonts w:ascii="Calibri" w:eastAsia="Arial" w:hAnsi="Calibri" w:cs="Calibri"/>
                <w:sz w:val="22"/>
                <w:szCs w:val="22"/>
                <w:lang w:val="en-US"/>
              </w:rPr>
              <w:t>Art. 34 (revizuit): Grupul de lucru interinstituțional se întrunește semestrial pentru a revizui planurile individuale de integrare, a evalua integrarea, a identifica lacunele și a coordona activitățile. De asemenea, sunt prevăzute consultări semestriale cu societatea civilă, organizațiile necomerciale și comunitățile de străini.</w:t>
            </w:r>
          </w:p>
        </w:tc>
        <w:tc>
          <w:tcPr>
            <w:tcW w:w="6141" w:type="dxa"/>
          </w:tcPr>
          <w:p w14:paraId="0535FF6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susține ferm termenul de 7 zile pentru interviu (mai scurt decât anterior), cadrul structurat al planurilor individuale de integrare și instituționalizarea Grupului de lucru ca îmbunătățiri semnificative ale guvernanței integrării.</w:t>
            </w:r>
          </w:p>
          <w:p w14:paraId="0392AF04"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(a) Hotărârea Guvernului privind componența Grupului de lucru (art. 34 alin. (1)) ar trebui să includă explicit societatea civilă în calitate de observatori cu drept de intervenție.</w:t>
            </w:r>
          </w:p>
          <w:p w14:paraId="2D50D537"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(b) Art. 22 alin. (3) ar trebui să prevadă implicarea obligatorie, nu discreționară, a Grupului de lucru în toate cazurile care implică beneficiari cu nevoi speciale.</w:t>
            </w:r>
          </w:p>
          <w:p w14:paraId="111071A1"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(c) Beneficiarii ar trebui să aibă dreptul de a solicita revizuirea planurilor lor.</w:t>
            </w:r>
          </w:p>
          <w:p w14:paraId="3EE3EE6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(d) Ar trebui introdus un instrument preliminar de evaluare a vulnerabilității înainte de interviul prevăzut la art. 21, pentru identificarea corectă a nevoilor speciale încă de la început și pentru a remedia lacuna actuală de circularitate.</w:t>
            </w:r>
          </w:p>
          <w:p w14:paraId="4E2C6819" w14:textId="378F0816" w:rsidR="00302D7A" w:rsidRPr="00A660FA" w:rsidRDefault="00302D7A" w:rsidP="00E315C6">
            <w:pPr>
              <w:spacing w:before="60"/>
              <w:rPr>
                <w:rFonts w:ascii="Calibri" w:eastAsia="Arial" w:hAnsi="Calibri" w:cs="Calibri"/>
                <w:sz w:val="22"/>
                <w:szCs w:val="22"/>
                <w:lang w:val="en-US"/>
              </w:rPr>
            </w:pPr>
          </w:p>
        </w:tc>
      </w:tr>
      <w:tr w:rsidR="00FD1F68" w:rsidRPr="004256D3" w14:paraId="59A3AC35" w14:textId="77777777" w:rsidTr="00FD1F68">
        <w:tc>
          <w:tcPr>
            <w:tcW w:w="2086" w:type="dxa"/>
          </w:tcPr>
          <w:p w14:paraId="5E8F92F5" w14:textId="344CF80C" w:rsidR="00FD1F68" w:rsidRPr="00EC7137" w:rsidRDefault="00EC7137" w:rsidP="00FD1F68">
            <w:pPr>
              <w:rPr>
                <w:rFonts w:ascii="Calibri" w:hAnsi="Calibri" w:cs="Calibri"/>
                <w:sz w:val="22"/>
                <w:szCs w:val="22"/>
                <w:lang w:val="en-US"/>
              </w:rPr>
            </w:pPr>
            <w:r w:rsidRPr="00EC7137">
              <w:rPr>
                <w:rFonts w:ascii="Calibri" w:hAnsi="Calibri" w:cs="Calibri"/>
                <w:sz w:val="22"/>
                <w:szCs w:val="22"/>
                <w:lang w:val="en-US"/>
              </w:rPr>
              <w:t>Legea nr. 274/2011 Art. 27 alin. (2) (Cazare)</w:t>
            </w:r>
          </w:p>
        </w:tc>
        <w:tc>
          <w:tcPr>
            <w:tcW w:w="6798" w:type="dxa"/>
          </w:tcPr>
          <w:p w14:paraId="4505A75B" w14:textId="2222DFD4" w:rsidR="00FD1F68" w:rsidRPr="00A660FA" w:rsidRDefault="00EC7137" w:rsidP="00FD1F68">
            <w:pPr>
              <w:rPr>
                <w:rFonts w:ascii="Calibri" w:hAnsi="Calibri" w:cs="Calibri"/>
                <w:sz w:val="22"/>
                <w:szCs w:val="22"/>
                <w:lang w:val="en-US"/>
              </w:rPr>
            </w:pPr>
            <w:r w:rsidRPr="00EC7137">
              <w:rPr>
                <w:rFonts w:ascii="Calibri" w:eastAsia="Arial" w:hAnsi="Calibri" w:cs="Calibri"/>
                <w:sz w:val="22"/>
                <w:szCs w:val="22"/>
                <w:lang w:val="en-US"/>
              </w:rPr>
              <w:t>Beneficiarii cu nevoi speciale care se califică în temeiul art. 6 pot beneficia, la cerere, de cazare gratuită pentru o perioadă de până la 3 luni în centre administrate de autoritatea competentă.</w:t>
            </w:r>
          </w:p>
        </w:tc>
        <w:tc>
          <w:tcPr>
            <w:tcW w:w="6141" w:type="dxa"/>
          </w:tcPr>
          <w:p w14:paraId="2D412F25"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observă că perioada de 3 luni poate fi insuficientă pentru beneficiarii cu vulnerabilități grave sau complexe (de exemplu, supraviețuitorii torturii, persoanele cu dizabilități, copiii neînsoțiți). Sistemul bazat pe solicitare riscă să excludă persoanele care nu cunosc acest drept sau nu sunt în măsură să îl revendice.</w:t>
            </w:r>
          </w:p>
          <w:p w14:paraId="38BA6EFD"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Permiterea prelungirii perioadei de 3 luni prin evaluare individuală, în special pentru cazurile complexe. </w:t>
            </w:r>
            <w:r w:rsidRPr="00EC7137">
              <w:rPr>
                <w:rFonts w:ascii="Calibri" w:eastAsia="Arial" w:hAnsi="Calibri" w:cs="Calibri"/>
                <w:sz w:val="22"/>
                <w:szCs w:val="22"/>
                <w:lang w:val="en-US"/>
              </w:rPr>
              <w:lastRenderedPageBreak/>
              <w:t>Autoritatea competentă ar trebui să informeze în mod proactiv beneficiarii eligibili despre acest drept și să faciliteze procesul de depunere a cererii, în conformitate cu obligația de protecție prevăzută de art. 3 al Convenției privind drepturile copilului și art. 24 al Pactului internațional privind drepturile civile și politice.</w:t>
            </w:r>
          </w:p>
          <w:p w14:paraId="04F22C8C" w14:textId="4DD2DBA5" w:rsidR="00FD1F68" w:rsidRPr="00A660FA" w:rsidRDefault="00FD1F68" w:rsidP="00FD1F68">
            <w:pPr>
              <w:rPr>
                <w:rFonts w:ascii="Calibri" w:hAnsi="Calibri" w:cs="Calibri"/>
                <w:sz w:val="22"/>
                <w:szCs w:val="22"/>
                <w:lang w:val="en-US"/>
              </w:rPr>
            </w:pPr>
          </w:p>
        </w:tc>
      </w:tr>
      <w:tr w:rsidR="006C6EFF" w:rsidRPr="004256D3" w14:paraId="67CF612B" w14:textId="77777777" w:rsidTr="00FD1F68">
        <w:tc>
          <w:tcPr>
            <w:tcW w:w="2086" w:type="dxa"/>
          </w:tcPr>
          <w:p w14:paraId="2A57D824" w14:textId="248EA13D" w:rsidR="006C6EFF" w:rsidRPr="00A660FA" w:rsidRDefault="00EC7137" w:rsidP="006C6EFF">
            <w:pPr>
              <w:rPr>
                <w:rFonts w:ascii="Calibri" w:hAnsi="Calibri" w:cs="Calibri"/>
                <w:sz w:val="22"/>
                <w:szCs w:val="22"/>
                <w:lang w:val="en-US"/>
              </w:rPr>
            </w:pPr>
            <w:r w:rsidRPr="00EC7137">
              <w:rPr>
                <w:rFonts w:ascii="Calibri" w:hAnsi="Calibri" w:cs="Calibri"/>
                <w:sz w:val="22"/>
                <w:szCs w:val="22"/>
                <w:lang w:val="en-US"/>
              </w:rPr>
              <w:lastRenderedPageBreak/>
              <w:t xml:space="preserve">Legea nr. 270/2008 Art. 33 alin. (2) și 91 alin. </w:t>
            </w:r>
            <w:r w:rsidRPr="00EC7137">
              <w:rPr>
                <w:rFonts w:ascii="Calibri" w:hAnsi="Calibri" w:cs="Calibri"/>
                <w:sz w:val="22"/>
                <w:szCs w:val="22"/>
              </w:rPr>
              <w:t>(3) (Asistență financiară)</w:t>
            </w:r>
          </w:p>
        </w:tc>
        <w:tc>
          <w:tcPr>
            <w:tcW w:w="6798" w:type="dxa"/>
          </w:tcPr>
          <w:p w14:paraId="070B9AF9" w14:textId="55BFD784" w:rsidR="006C6EFF" w:rsidRPr="00EC7137" w:rsidRDefault="00EC7137" w:rsidP="006C6EFF">
            <w:pPr>
              <w:rPr>
                <w:rFonts w:ascii="Calibri" w:hAnsi="Calibri" w:cs="Calibri"/>
                <w:sz w:val="22"/>
                <w:szCs w:val="22"/>
                <w:lang w:val="en-US"/>
              </w:rPr>
            </w:pPr>
            <w:r w:rsidRPr="00EC7137">
              <w:rPr>
                <w:rFonts w:ascii="Calibri" w:eastAsia="Arial" w:hAnsi="Calibri" w:cs="Calibri"/>
                <w:sz w:val="22"/>
                <w:szCs w:val="22"/>
                <w:lang w:val="en-US"/>
              </w:rPr>
              <w:t>Ambele prevederi privind asistența financiară pentru solicitanții de azil au fost abrogate prin această lege. Sprijinul în natură (cazare, hrană, îmbrăcăminte, produse de igienă, transport) este reglementat în prezent prin Hotărârea Guvernului nr. 720/2025.</w:t>
            </w:r>
          </w:p>
        </w:tc>
        <w:tc>
          <w:tcPr>
            <w:tcW w:w="6141" w:type="dxa"/>
          </w:tcPr>
          <w:p w14:paraId="1A1FAA88"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își exprimă îngrijorarea cu privire la această modificare. Eliminarea unui drept prevăzut în legislația primară fără o garanție legală echivalentă slăbește protecția juridică a solicitanților de azil. Hotărârile Guvernului pot fi modificate sau abrogate fără aprobarea Parlamentului, ceea ce creează riscul ca beneficiarii să piardă sprijinul dacă Hotărârea nr. 720/2025 este modificată.</w:t>
            </w:r>
          </w:p>
          <w:p w14:paraId="4BDDD8D4"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Fie (a) menținerea unei prevederi în Legea nr. 270/2008 care să stabilească dreptul la condiții materiale adecvate de primire, iar modalitățile de implementare să fie delegate Hotărârii Guvernului; fie (b) modificarea Legii nr. 270/2008 pentru a incorpora prin referință standardele prevăzute de Hotărârea nr. 720/2025 și pentru a solicita aprobarea Parlamentului pentru orice reducere a acestora. De asemenea, ar trebui instituit un mecanism accesibil de depunere a plângerilor pentru solicitanții de azil care nu beneficiază de sprijin adecvat.</w:t>
            </w:r>
          </w:p>
          <w:p w14:paraId="6344F748" w14:textId="60F7B676" w:rsidR="006C6EFF" w:rsidRPr="00A660FA" w:rsidRDefault="006C6EFF" w:rsidP="006C6EFF">
            <w:pPr>
              <w:rPr>
                <w:rFonts w:ascii="Calibri" w:hAnsi="Calibri" w:cs="Calibri"/>
                <w:sz w:val="22"/>
                <w:szCs w:val="22"/>
                <w:lang w:val="en-US"/>
              </w:rPr>
            </w:pPr>
          </w:p>
        </w:tc>
      </w:tr>
      <w:tr w:rsidR="0081305B" w:rsidRPr="004256D3" w14:paraId="247CE9F7" w14:textId="77777777" w:rsidTr="00FD1F68">
        <w:tc>
          <w:tcPr>
            <w:tcW w:w="2086" w:type="dxa"/>
          </w:tcPr>
          <w:p w14:paraId="2BCECA83" w14:textId="5D8F2717" w:rsidR="0081305B" w:rsidRPr="00EC7137" w:rsidRDefault="00EC7137" w:rsidP="0081305B">
            <w:pPr>
              <w:rPr>
                <w:rFonts w:ascii="Calibri" w:hAnsi="Calibri" w:cs="Calibri"/>
                <w:sz w:val="22"/>
                <w:szCs w:val="22"/>
                <w:lang w:val="en-US"/>
              </w:rPr>
            </w:pPr>
            <w:r w:rsidRPr="00EC7137">
              <w:rPr>
                <w:rFonts w:ascii="Calibri" w:hAnsi="Calibri" w:cs="Calibri"/>
                <w:sz w:val="22"/>
                <w:szCs w:val="22"/>
                <w:lang w:val="en-US"/>
              </w:rPr>
              <w:t>Legea nr. 139/2007 Art. 17 alin. (1) lit. a) (Incluziune financiară)</w:t>
            </w:r>
          </w:p>
        </w:tc>
        <w:tc>
          <w:tcPr>
            <w:tcW w:w="6798" w:type="dxa"/>
          </w:tcPr>
          <w:p w14:paraId="373BC394" w14:textId="504013C7" w:rsidR="0081305B" w:rsidRPr="00EC7137" w:rsidRDefault="00EC7137" w:rsidP="0081305B">
            <w:pPr>
              <w:rPr>
                <w:rFonts w:ascii="Calibri" w:hAnsi="Calibri" w:cs="Calibri"/>
                <w:sz w:val="22"/>
                <w:szCs w:val="22"/>
                <w:lang w:val="en-US"/>
              </w:rPr>
            </w:pPr>
            <w:r w:rsidRPr="00EC7137">
              <w:rPr>
                <w:rFonts w:ascii="Calibri" w:eastAsia="Arial" w:hAnsi="Calibri" w:cs="Calibri"/>
                <w:sz w:val="22"/>
                <w:szCs w:val="22"/>
                <w:lang w:val="en-US"/>
              </w:rPr>
              <w:t>Accesul la calitatea de membru al asociațiilor de economii și împrumut a fost extins pentru străinii care dețin permis de ședere. Textul anterior se referea la cetățenii Republicii Moldova și apatrizi; noua formulare înlocuiește „apatrizii” cu „străinii care dețin permis de ședere”.</w:t>
            </w:r>
          </w:p>
        </w:tc>
        <w:tc>
          <w:tcPr>
            <w:tcW w:w="6141" w:type="dxa"/>
          </w:tcPr>
          <w:p w14:paraId="77A55483"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ferm extinderea drepturilor de incluziune financiară pentru titularii permiselor de ședere.</w:t>
            </w:r>
          </w:p>
          <w:p w14:paraId="1CA81682"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Îngrijorare:</w:t>
            </w:r>
            <w:r w:rsidRPr="00EC7137">
              <w:rPr>
                <w:rFonts w:ascii="Calibri" w:eastAsia="Arial" w:hAnsi="Calibri" w:cs="Calibri"/>
                <w:sz w:val="22"/>
                <w:szCs w:val="22"/>
                <w:lang w:val="en-US"/>
              </w:rPr>
              <w:t xml:space="preserve"> Modificarea, în forma actuală, poate elimina neintenționat dreptul existent al apatrizilor care nu dețin permis de ședere, deoarece termenul „apatrizi” este eliminat și înlocuit cu titularii permisului de ședere.</w:t>
            </w:r>
          </w:p>
          <w:p w14:paraId="777448DF"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Modificarea art. 17 alin. (1) lit. a) astfel încât să prevadă „cetățenii Republicii Moldova, apatrizii sau străinii care dețin permis de ședere”, pentru a păstra dreptul existent al apatrizilor. Se recomandă examinarea posibilității de extindere a acestui drept și asupra solicitanților de azil ale căror cereri sunt pendinte de șase luni sau mai mult. Informațiile privind acest drept ar trebui comunicate proactiv prin centrele de integrare.</w:t>
            </w:r>
          </w:p>
          <w:p w14:paraId="0ACAE341" w14:textId="792766F2" w:rsidR="0081305B" w:rsidRPr="00A660FA" w:rsidRDefault="0081305B" w:rsidP="0081305B">
            <w:pPr>
              <w:rPr>
                <w:rFonts w:ascii="Calibri" w:hAnsi="Calibri" w:cs="Calibri"/>
                <w:sz w:val="22"/>
                <w:szCs w:val="22"/>
                <w:lang w:val="en-US"/>
              </w:rPr>
            </w:pPr>
          </w:p>
        </w:tc>
      </w:tr>
      <w:tr w:rsidR="00293E80" w:rsidRPr="004256D3" w14:paraId="07C412B4" w14:textId="77777777" w:rsidTr="00FD1F68">
        <w:tc>
          <w:tcPr>
            <w:tcW w:w="2086" w:type="dxa"/>
          </w:tcPr>
          <w:p w14:paraId="672868CB" w14:textId="32ADA7C0" w:rsidR="00293E80" w:rsidRPr="00EC7137" w:rsidRDefault="00EC7137" w:rsidP="00293E80">
            <w:pPr>
              <w:rPr>
                <w:rFonts w:ascii="Calibri" w:hAnsi="Calibri" w:cs="Calibri"/>
                <w:sz w:val="22"/>
                <w:szCs w:val="22"/>
                <w:lang w:val="en-US"/>
              </w:rPr>
            </w:pPr>
            <w:r w:rsidRPr="00EC7137">
              <w:rPr>
                <w:rFonts w:ascii="Calibri" w:hAnsi="Calibri" w:cs="Calibri"/>
                <w:sz w:val="22"/>
                <w:szCs w:val="22"/>
                <w:lang w:val="en-US"/>
              </w:rPr>
              <w:lastRenderedPageBreak/>
              <w:t>Legea nr. 198/2007 Art. 19 alin. (1) lit. b²), 28 alin. (1²) și 28 alin. (5) lit. d) (Asistență juridică de urgență — detenție)</w:t>
            </w:r>
          </w:p>
        </w:tc>
        <w:tc>
          <w:tcPr>
            <w:tcW w:w="6798" w:type="dxa"/>
          </w:tcPr>
          <w:p w14:paraId="65A5B065" w14:textId="77777777"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b/>
                <w:bCs/>
                <w:sz w:val="22"/>
                <w:szCs w:val="22"/>
                <w:lang w:val="en-US"/>
              </w:rPr>
              <w:t>Noul art. 19 alin. (1) lit. b²):</w:t>
            </w:r>
            <w:r w:rsidRPr="00EC7137">
              <w:rPr>
                <w:rFonts w:ascii="Calibri" w:eastAsia="Arial" w:hAnsi="Calibri" w:cs="Calibri"/>
                <w:sz w:val="22"/>
                <w:szCs w:val="22"/>
                <w:lang w:val="en-US"/>
              </w:rPr>
              <w:t xml:space="preserve"> Străinii aflați în proceduri de luare în custodie publică beneficiază în mod expres de asistență juridică de urgență garantată de stat.</w:t>
            </w:r>
          </w:p>
          <w:p w14:paraId="206D0FD3" w14:textId="77777777"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b/>
                <w:bCs/>
                <w:sz w:val="22"/>
                <w:szCs w:val="22"/>
                <w:lang w:val="en-US"/>
              </w:rPr>
              <w:t>Noul art. 28 alin. (1²):</w:t>
            </w:r>
            <w:r w:rsidRPr="00EC7137">
              <w:rPr>
                <w:rFonts w:ascii="Calibri" w:eastAsia="Arial" w:hAnsi="Calibri" w:cs="Calibri"/>
                <w:sz w:val="22"/>
                <w:szCs w:val="22"/>
                <w:lang w:val="en-US"/>
              </w:rPr>
              <w:t xml:space="preserve"> La solicitarea persoanei sau a autorității de executare, oficiul teritorial de asistență juridică este obligat să desemneze un avocat de serviciu.</w:t>
            </w:r>
          </w:p>
          <w:p w14:paraId="1304D22B" w14:textId="77777777" w:rsidR="00EC7137" w:rsidRPr="00EC7137" w:rsidRDefault="00EC7137" w:rsidP="00EC7137">
            <w:pPr>
              <w:spacing w:after="60"/>
              <w:rPr>
                <w:rFonts w:ascii="Calibri" w:eastAsia="Arial" w:hAnsi="Calibri" w:cs="Calibri"/>
                <w:sz w:val="22"/>
                <w:szCs w:val="22"/>
                <w:lang w:val="en-US"/>
              </w:rPr>
            </w:pPr>
            <w:r w:rsidRPr="00EC7137">
              <w:rPr>
                <w:rFonts w:ascii="Calibri" w:eastAsia="Arial" w:hAnsi="Calibri" w:cs="Calibri"/>
                <w:b/>
                <w:bCs/>
                <w:sz w:val="22"/>
                <w:szCs w:val="22"/>
                <w:lang w:val="en-US"/>
              </w:rPr>
              <w:t>Noul art. 28 alin. (5) lit. d):</w:t>
            </w:r>
            <w:r w:rsidRPr="00EC7137">
              <w:rPr>
                <w:rFonts w:ascii="Calibri" w:eastAsia="Arial" w:hAnsi="Calibri" w:cs="Calibri"/>
                <w:sz w:val="22"/>
                <w:szCs w:val="22"/>
                <w:lang w:val="en-US"/>
              </w:rPr>
              <w:t xml:space="preserve"> Asistența juridică de urgență este inclusă ca formă de asistență juridică calificată în procedurile de luare în custodie publică.</w:t>
            </w:r>
          </w:p>
          <w:p w14:paraId="14491934" w14:textId="1D51C956" w:rsidR="00293E80" w:rsidRPr="00A660FA" w:rsidRDefault="00293E80" w:rsidP="00293E80">
            <w:pPr>
              <w:rPr>
                <w:rFonts w:ascii="Calibri" w:hAnsi="Calibri" w:cs="Calibri"/>
                <w:sz w:val="22"/>
                <w:szCs w:val="22"/>
                <w:lang w:val="en-US"/>
              </w:rPr>
            </w:pPr>
          </w:p>
        </w:tc>
        <w:tc>
          <w:tcPr>
            <w:tcW w:w="6141" w:type="dxa"/>
          </w:tcPr>
          <w:p w14:paraId="7C8AC9B6"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susține ferm aceste modificări, care răspund unei lacune critice existente de lungă durată. Lipsa unei obligații legale explicite de acordare a asistenței juridice încă de la începutul detenției era incompatibilă cu standardele relevante în domeniul drepturilor omului.</w:t>
            </w:r>
          </w:p>
          <w:p w14:paraId="7369345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Îngrijorare:</w:t>
            </w:r>
            <w:r w:rsidRPr="00EC7137">
              <w:rPr>
                <w:rFonts w:ascii="Calibri" w:eastAsia="Arial" w:hAnsi="Calibri" w:cs="Calibri"/>
                <w:sz w:val="22"/>
                <w:szCs w:val="22"/>
                <w:lang w:val="en-US"/>
              </w:rPr>
              <w:t xml:space="preserve"> Mecanismul prevăzut la art. 28 alin. (1²) este bazat pe solicitare („la solicitarea”), ceea ce poate lăsa fără reprezentare juridică persoanele aflate în dificultate, care nu își cunosc drepturile sau nu sunt în măsură să comunice în limba română. De asemenea, nu este prevăzut un termen maxim pentru desemnarea avocatului de serviciu.</w:t>
            </w:r>
          </w:p>
          <w:p w14:paraId="2608E22A"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br/>
              <w:t>(a) Desemnarea avocatului de serviciu să fie automată la notificarea oricărei proceduri de luare în custodie publică care implică un străin, fără a fi necesară o solicitare.</w:t>
            </w:r>
          </w:p>
          <w:p w14:paraId="3DD93DE6"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(b) Stabilirea unui termen maxim pentru desemnare, care să nu depășească 24 de ore.</w:t>
            </w:r>
          </w:p>
          <w:p w14:paraId="522875D3"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(c) Obligativitatea informării străinilor deținuți cu privire la dreptul lor la asistență juridică, într-o limbă pe care o înțeleg, încă din primul moment al privării de libertate.</w:t>
            </w:r>
          </w:p>
          <w:p w14:paraId="753CEE40"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(d) Legea ar trebui să prevadă în mod explicit că detenția solicitanților de azil reprezintă o măsură de ultim resort, supusă unei revizuiri judiciare periodice.</w:t>
            </w:r>
          </w:p>
          <w:p w14:paraId="5358911E" w14:textId="5DBB7BD7" w:rsidR="00293E80" w:rsidRPr="00A660FA" w:rsidRDefault="00293E80" w:rsidP="00293E80">
            <w:pPr>
              <w:rPr>
                <w:rFonts w:ascii="Calibri" w:hAnsi="Calibri" w:cs="Calibri"/>
                <w:sz w:val="22"/>
                <w:szCs w:val="22"/>
                <w:lang w:val="en-US"/>
              </w:rPr>
            </w:pPr>
          </w:p>
        </w:tc>
      </w:tr>
      <w:tr w:rsidR="00136023" w:rsidRPr="004256D3" w14:paraId="1E7D93D6" w14:textId="77777777" w:rsidTr="00FD1F68">
        <w:tc>
          <w:tcPr>
            <w:tcW w:w="2086" w:type="dxa"/>
          </w:tcPr>
          <w:p w14:paraId="080E3EF6" w14:textId="372B510B" w:rsidR="00136023" w:rsidRPr="00EC7137" w:rsidRDefault="00EC7137" w:rsidP="00136023">
            <w:pPr>
              <w:rPr>
                <w:rFonts w:ascii="Calibri" w:hAnsi="Calibri" w:cs="Calibri"/>
                <w:sz w:val="22"/>
                <w:szCs w:val="22"/>
                <w:lang w:val="en-US"/>
              </w:rPr>
            </w:pPr>
            <w:r w:rsidRPr="00EC7137">
              <w:rPr>
                <w:rFonts w:ascii="Calibri" w:hAnsi="Calibri" w:cs="Calibri"/>
                <w:sz w:val="22"/>
                <w:szCs w:val="22"/>
                <w:lang w:val="en-US"/>
              </w:rPr>
              <w:t>Legea nr. 198/2007 Art. 20 lit. h) (Asistență juridică pentru apatrizi)</w:t>
            </w:r>
          </w:p>
        </w:tc>
        <w:tc>
          <w:tcPr>
            <w:tcW w:w="6798" w:type="dxa"/>
          </w:tcPr>
          <w:p w14:paraId="2592265B" w14:textId="1382FEAB" w:rsidR="00136023" w:rsidRPr="00EC7137" w:rsidRDefault="00EC7137" w:rsidP="00136023">
            <w:pPr>
              <w:rPr>
                <w:rFonts w:ascii="Calibri" w:hAnsi="Calibri" w:cs="Calibri"/>
                <w:sz w:val="22"/>
                <w:szCs w:val="22"/>
                <w:lang w:val="en-US"/>
              </w:rPr>
            </w:pPr>
            <w:r w:rsidRPr="00EC7137">
              <w:rPr>
                <w:rFonts w:ascii="Calibri" w:eastAsia="Arial" w:hAnsi="Calibri" w:cs="Calibri"/>
                <w:sz w:val="22"/>
                <w:szCs w:val="22"/>
                <w:lang w:val="en-US"/>
              </w:rPr>
              <w:t>Art. 20 lit. h) a fost modificat pentru a extinde asistența juridică calificată și asupra solicitanților recunoașterii statutului de apatrid, pe lângă categoriile acoperite anterior.</w:t>
            </w:r>
          </w:p>
        </w:tc>
        <w:tc>
          <w:tcPr>
            <w:tcW w:w="6141" w:type="dxa"/>
          </w:tcPr>
          <w:p w14:paraId="5B4BC97B"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salută această extindere ca un pas important spre asigurarea echității procedurale. Persoanele apatride se numără printre cele mai invizibile din punct de vedere administrativ și cele mai puțin protejate juridic.</w:t>
            </w:r>
          </w:p>
          <w:p w14:paraId="057D5851"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Îngrijorare:</w:t>
            </w:r>
            <w:r w:rsidRPr="00EC7137">
              <w:rPr>
                <w:rFonts w:ascii="Calibri" w:eastAsia="Arial" w:hAnsi="Calibri" w:cs="Calibri"/>
                <w:sz w:val="22"/>
                <w:szCs w:val="22"/>
                <w:lang w:val="en-US"/>
              </w:rPr>
              <w:t xml:space="preserve"> Nota informativă recunoaște că, în practică, asistența juridică pentru apatrizi este acordată în principal în etapa de contestare după emiterea unui refuz, și nu de la începutul procedurii de determinare, care reprezintă etapa cea mai importantă și cu cel mai mare impact asupra drepturilor persoanei. Accesul la asistență depinde de depunerea unei cereri verbale sau scrise de către solicitant, ceea ce multe persoane apatride pot fi incapabile să facă din cauza barierelor lingvistice sau a lipsei de informare.</w:t>
            </w:r>
          </w:p>
          <w:p w14:paraId="34B1CCBB"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lastRenderedPageBreak/>
              <w:t>Recomandare:</w:t>
            </w:r>
            <w:r w:rsidRPr="00EC7137">
              <w:rPr>
                <w:rFonts w:ascii="Calibri" w:eastAsia="Arial" w:hAnsi="Calibri" w:cs="Calibri"/>
                <w:sz w:val="22"/>
                <w:szCs w:val="22"/>
                <w:lang w:val="en-US"/>
              </w:rPr>
              <w:br/>
              <w:t>(a) Obligarea Inspectoratului General pentru Migrație (IGM) să notifice automat oficiul teritorial competent de asistență juridică imediat după recepționarea oricărei cereri de recunoaștere a statutului de apatrid, fără a solicita o cerere separată din partea solicitantului.</w:t>
            </w:r>
          </w:p>
          <w:p w14:paraId="2407E958"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(b) Garantarea accesului la asistență juridică încă de la inițierea procedurii de determinare a statutului de apatrid.</w:t>
            </w:r>
          </w:p>
          <w:p w14:paraId="5E8F8C6A"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(c) Instruirea personalului IGM pentru desfășurarea unei informări proactive privind drepturile la asistență juridică.</w:t>
            </w:r>
          </w:p>
          <w:p w14:paraId="72D6335E" w14:textId="5CB30821" w:rsidR="00136023" w:rsidRPr="00A660FA" w:rsidRDefault="00136023" w:rsidP="00136023">
            <w:pPr>
              <w:rPr>
                <w:rFonts w:ascii="Calibri" w:hAnsi="Calibri" w:cs="Calibri"/>
                <w:sz w:val="22"/>
                <w:szCs w:val="22"/>
                <w:lang w:val="en-US"/>
              </w:rPr>
            </w:pPr>
          </w:p>
        </w:tc>
      </w:tr>
      <w:tr w:rsidR="00A660FA" w:rsidRPr="004256D3" w14:paraId="0DA62364" w14:textId="77777777" w:rsidTr="00FD1F68">
        <w:tc>
          <w:tcPr>
            <w:tcW w:w="2086" w:type="dxa"/>
          </w:tcPr>
          <w:p w14:paraId="529D47CA" w14:textId="76093C92" w:rsidR="00A660FA" w:rsidRPr="00EC7137" w:rsidRDefault="00EC7137" w:rsidP="00A660FA">
            <w:pPr>
              <w:rPr>
                <w:rFonts w:ascii="Calibri" w:hAnsi="Calibri" w:cs="Calibri"/>
                <w:sz w:val="22"/>
                <w:szCs w:val="22"/>
                <w:lang w:val="en-US"/>
              </w:rPr>
            </w:pPr>
            <w:r w:rsidRPr="00EC7137">
              <w:rPr>
                <w:rFonts w:ascii="Calibri" w:hAnsi="Calibri" w:cs="Calibri"/>
                <w:sz w:val="22"/>
                <w:szCs w:val="22"/>
                <w:lang w:val="en-US"/>
              </w:rPr>
              <w:lastRenderedPageBreak/>
              <w:t>Art. V (Intrarea în vigoare)</w:t>
            </w:r>
          </w:p>
        </w:tc>
        <w:tc>
          <w:tcPr>
            <w:tcW w:w="6798" w:type="dxa"/>
          </w:tcPr>
          <w:p w14:paraId="20F70D62" w14:textId="77777777" w:rsidR="00EC7137" w:rsidRPr="00EC7137" w:rsidRDefault="00EC7137" w:rsidP="00EC7137">
            <w:pPr>
              <w:rPr>
                <w:rFonts w:ascii="Calibri" w:eastAsia="Arial" w:hAnsi="Calibri" w:cs="Calibri"/>
                <w:sz w:val="22"/>
                <w:szCs w:val="22"/>
                <w:lang w:val="en-US"/>
              </w:rPr>
            </w:pPr>
            <w:r w:rsidRPr="00EC7137">
              <w:rPr>
                <w:rFonts w:ascii="Calibri" w:eastAsia="Arial" w:hAnsi="Calibri" w:cs="Calibri"/>
                <w:sz w:val="22"/>
                <w:szCs w:val="22"/>
                <w:lang w:val="en-US"/>
              </w:rPr>
              <w:t>Legea intră în vigoare la o lună de la publicare.</w:t>
            </w:r>
          </w:p>
          <w:p w14:paraId="40C93DDF" w14:textId="77777777" w:rsidR="00EC7137" w:rsidRPr="00EC7137" w:rsidRDefault="00EC7137" w:rsidP="00EC7137">
            <w:pPr>
              <w:rPr>
                <w:rFonts w:ascii="Calibri" w:eastAsia="Arial" w:hAnsi="Calibri" w:cs="Calibri"/>
                <w:sz w:val="22"/>
                <w:szCs w:val="22"/>
                <w:lang w:val="en-US"/>
              </w:rPr>
            </w:pPr>
            <w:r w:rsidRPr="00EC7137">
              <w:rPr>
                <w:rFonts w:ascii="Calibri" w:eastAsia="Arial" w:hAnsi="Calibri" w:cs="Calibri"/>
                <w:sz w:val="22"/>
                <w:szCs w:val="22"/>
                <w:lang w:val="en-US"/>
              </w:rPr>
              <w:t>Excepție: Art. I pct. 1 și 4 (înlocuirile terminologice aferente noii Legi privind admiterea, șederea și supravegherea străinilor) intră în vigoare la 1 iunie 2027.</w:t>
            </w:r>
          </w:p>
          <w:p w14:paraId="76D8026C" w14:textId="4DAA7FD6" w:rsidR="00A660FA" w:rsidRPr="00A660FA" w:rsidRDefault="00A660FA" w:rsidP="00A660FA">
            <w:pPr>
              <w:rPr>
                <w:rFonts w:ascii="Calibri" w:hAnsi="Calibri" w:cs="Calibri"/>
                <w:sz w:val="22"/>
                <w:szCs w:val="22"/>
                <w:lang w:val="en-US"/>
              </w:rPr>
            </w:pPr>
          </w:p>
        </w:tc>
        <w:tc>
          <w:tcPr>
            <w:tcW w:w="6141" w:type="dxa"/>
          </w:tcPr>
          <w:p w14:paraId="20298AB2"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sz w:val="22"/>
                <w:szCs w:val="22"/>
                <w:lang w:val="en-US"/>
              </w:rPr>
              <w:t>OHCHR înțelege rațiunea tehnică a intrării în vigoare etapizate. Totuși, perioada de tranziție creează incertitudine juridică pentru străini, funcționarii publici și furnizorii de asistență juridică, care vor trebui să aplice simultan cadre juridice diferite până în anul 2027.</w:t>
            </w:r>
          </w:p>
          <w:p w14:paraId="74BA8FEC" w14:textId="77777777" w:rsidR="00EC7137" w:rsidRPr="00EC7137" w:rsidRDefault="00EC7137" w:rsidP="00EC7137">
            <w:pPr>
              <w:spacing w:before="60"/>
              <w:rPr>
                <w:rFonts w:ascii="Calibri" w:eastAsia="Arial" w:hAnsi="Calibri" w:cs="Calibri"/>
                <w:sz w:val="22"/>
                <w:szCs w:val="22"/>
                <w:lang w:val="en-US"/>
              </w:rPr>
            </w:pPr>
            <w:r w:rsidRPr="00EC7137">
              <w:rPr>
                <w:rFonts w:ascii="Calibri" w:eastAsia="Arial" w:hAnsi="Calibri" w:cs="Calibri"/>
                <w:b/>
                <w:bCs/>
                <w:sz w:val="22"/>
                <w:szCs w:val="22"/>
                <w:lang w:val="en-US"/>
              </w:rPr>
              <w:t>Recomandare:</w:t>
            </w:r>
            <w:r w:rsidRPr="00EC7137">
              <w:rPr>
                <w:rFonts w:ascii="Calibri" w:eastAsia="Arial" w:hAnsi="Calibri" w:cs="Calibri"/>
                <w:sz w:val="22"/>
                <w:szCs w:val="22"/>
                <w:lang w:val="en-US"/>
              </w:rPr>
              <w:t xml:space="preserve"> Guvernul ar trebui să emită orientări tranzitorii clare, care să specifice ce prevederi se aplică imediat și care sunt amânate. De asemenea, ar trebui instituit un mecanism de monitorizare care să urmărească impactul asupra protecției drepturilor în perioada de tranziție, cu o atenție deosebită asupra eventualelor lacune care afectează solicitanții de azil, refugiații și persoanele apatride.</w:t>
            </w:r>
          </w:p>
          <w:p w14:paraId="57E1D49B" w14:textId="05BC3428" w:rsidR="00A660FA" w:rsidRPr="00A660FA" w:rsidRDefault="00A660FA" w:rsidP="00A660FA">
            <w:pPr>
              <w:rPr>
                <w:rFonts w:ascii="Calibri" w:hAnsi="Calibri" w:cs="Calibri"/>
                <w:sz w:val="22"/>
                <w:szCs w:val="22"/>
                <w:lang w:val="en-US"/>
              </w:rPr>
            </w:pPr>
          </w:p>
        </w:tc>
      </w:tr>
    </w:tbl>
    <w:p w14:paraId="501817AE" w14:textId="77777777" w:rsidR="00D67F46" w:rsidRPr="00A660FA" w:rsidRDefault="00D67F46">
      <w:pPr>
        <w:rPr>
          <w:rFonts w:ascii="Calibri" w:hAnsi="Calibri" w:cs="Calibri"/>
          <w:sz w:val="22"/>
          <w:szCs w:val="22"/>
          <w:lang w:val="en-US"/>
        </w:rPr>
      </w:pPr>
    </w:p>
    <w:sectPr w:rsidR="00D67F46" w:rsidRPr="00A660FA" w:rsidSect="004B4E8E">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3843D1"/>
    <w:multiLevelType w:val="multilevel"/>
    <w:tmpl w:val="E0D0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726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5A4438"/>
    <w:rsid w:val="00026C39"/>
    <w:rsid w:val="00044ED0"/>
    <w:rsid w:val="00070B72"/>
    <w:rsid w:val="000F5285"/>
    <w:rsid w:val="00136023"/>
    <w:rsid w:val="001473EC"/>
    <w:rsid w:val="00157863"/>
    <w:rsid w:val="001B16CD"/>
    <w:rsid w:val="001D3F73"/>
    <w:rsid w:val="002626CA"/>
    <w:rsid w:val="00265C92"/>
    <w:rsid w:val="00293E80"/>
    <w:rsid w:val="003013FD"/>
    <w:rsid w:val="00302D7A"/>
    <w:rsid w:val="003A7327"/>
    <w:rsid w:val="003D1ECF"/>
    <w:rsid w:val="003F53BF"/>
    <w:rsid w:val="004177DC"/>
    <w:rsid w:val="004256D3"/>
    <w:rsid w:val="0044139B"/>
    <w:rsid w:val="004818F7"/>
    <w:rsid w:val="004B4E8E"/>
    <w:rsid w:val="004F6500"/>
    <w:rsid w:val="00531E4D"/>
    <w:rsid w:val="0056572B"/>
    <w:rsid w:val="005A0479"/>
    <w:rsid w:val="005B58C5"/>
    <w:rsid w:val="005C1CE9"/>
    <w:rsid w:val="005C4CE5"/>
    <w:rsid w:val="005D2F4F"/>
    <w:rsid w:val="005D7501"/>
    <w:rsid w:val="00600D61"/>
    <w:rsid w:val="00622D74"/>
    <w:rsid w:val="0062739C"/>
    <w:rsid w:val="00660E53"/>
    <w:rsid w:val="006648C9"/>
    <w:rsid w:val="00681B5D"/>
    <w:rsid w:val="006B2561"/>
    <w:rsid w:val="006C6EFF"/>
    <w:rsid w:val="006D3680"/>
    <w:rsid w:val="006E12D5"/>
    <w:rsid w:val="006E1C72"/>
    <w:rsid w:val="0074723B"/>
    <w:rsid w:val="00761030"/>
    <w:rsid w:val="007622E5"/>
    <w:rsid w:val="00766A86"/>
    <w:rsid w:val="0077719A"/>
    <w:rsid w:val="0081305B"/>
    <w:rsid w:val="008159DC"/>
    <w:rsid w:val="008518B0"/>
    <w:rsid w:val="00876850"/>
    <w:rsid w:val="00930811"/>
    <w:rsid w:val="009A41B1"/>
    <w:rsid w:val="00A321FB"/>
    <w:rsid w:val="00A40BEE"/>
    <w:rsid w:val="00A660FA"/>
    <w:rsid w:val="00A76F18"/>
    <w:rsid w:val="00AA649E"/>
    <w:rsid w:val="00AB0291"/>
    <w:rsid w:val="00AC69A8"/>
    <w:rsid w:val="00AD6633"/>
    <w:rsid w:val="00B07CF3"/>
    <w:rsid w:val="00B557C7"/>
    <w:rsid w:val="00B94ACD"/>
    <w:rsid w:val="00C07D0E"/>
    <w:rsid w:val="00CA05B6"/>
    <w:rsid w:val="00CB2BB6"/>
    <w:rsid w:val="00CC3724"/>
    <w:rsid w:val="00CF31CF"/>
    <w:rsid w:val="00D13E96"/>
    <w:rsid w:val="00D15D87"/>
    <w:rsid w:val="00D56C73"/>
    <w:rsid w:val="00D67F46"/>
    <w:rsid w:val="00DB2CCB"/>
    <w:rsid w:val="00DC1B91"/>
    <w:rsid w:val="00E03D02"/>
    <w:rsid w:val="00E20716"/>
    <w:rsid w:val="00E315C6"/>
    <w:rsid w:val="00E41CC4"/>
    <w:rsid w:val="00EC7137"/>
    <w:rsid w:val="00EF47CF"/>
    <w:rsid w:val="00F07AEA"/>
    <w:rsid w:val="00F258E3"/>
    <w:rsid w:val="00F6571A"/>
    <w:rsid w:val="00FA4B61"/>
    <w:rsid w:val="00FC2BBC"/>
    <w:rsid w:val="00FD1F68"/>
    <w:rsid w:val="00FD30CD"/>
    <w:rsid w:val="0772639B"/>
    <w:rsid w:val="18055572"/>
    <w:rsid w:val="1A882C10"/>
    <w:rsid w:val="22B4AC09"/>
    <w:rsid w:val="236363EE"/>
    <w:rsid w:val="24821B8B"/>
    <w:rsid w:val="254C5AEB"/>
    <w:rsid w:val="2A49BCE2"/>
    <w:rsid w:val="3B5EC033"/>
    <w:rsid w:val="3F7F64E0"/>
    <w:rsid w:val="42AD9F2D"/>
    <w:rsid w:val="4401153D"/>
    <w:rsid w:val="557ED669"/>
    <w:rsid w:val="5EE9A6C7"/>
    <w:rsid w:val="60ECA3F4"/>
    <w:rsid w:val="655A4438"/>
    <w:rsid w:val="660EF02B"/>
    <w:rsid w:val="6613E80E"/>
    <w:rsid w:val="67DF35A3"/>
    <w:rsid w:val="682484FF"/>
    <w:rsid w:val="6EA4BB10"/>
    <w:rsid w:val="7C928C87"/>
    <w:rsid w:val="7F4FBA45"/>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4438"/>
  <w15:chartTrackingRefBased/>
  <w15:docId w15:val="{5EDD6091-E64A-46CF-B5E4-AF4BBC49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9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4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66A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62721D7BA06046A9C05BECEA38E7BC" ma:contentTypeVersion="16" ma:contentTypeDescription="Create a new document." ma:contentTypeScope="" ma:versionID="60e4195359ee00e3fef8917b30994b79">
  <xsd:schema xmlns:xsd="http://www.w3.org/2001/XMLSchema" xmlns:xs="http://www.w3.org/2001/XMLSchema" xmlns:p="http://schemas.microsoft.com/office/2006/metadata/properties" xmlns:ns2="d9760150-227e-4aa2-999f-8c9d550b9aa7" xmlns:ns3="59516b10-aadc-43ab-a36f-725b09a2742d" targetNamespace="http://schemas.microsoft.com/office/2006/metadata/properties" ma:root="true" ma:fieldsID="74114d033123f711bb8257d833711cf4" ns2:_="" ns3:_="">
    <xsd:import namespace="d9760150-227e-4aa2-999f-8c9d550b9aa7"/>
    <xsd:import namespace="59516b10-aadc-43ab-a36f-725b09a2742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60150-227e-4aa2-999f-8c9d550b9aa7"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hidden="true" ma:internalName="MediaServiceOCR"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hidden="true"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516b10-aadc-43ab-a36f-725b09a2742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47fc8f4-8b4f-4ee1-ba2c-5b8566cca06a}" ma:internalName="TaxCatchAll" ma:readOnly="false" ma:showField="CatchAllData" ma:web="59516b10-aadc-43ab-a36f-725b09a2742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760150-227e-4aa2-999f-8c9d550b9aa7">
      <Terms xmlns="http://schemas.microsoft.com/office/infopath/2007/PartnerControls"/>
    </lcf76f155ced4ddcb4097134ff3c332f>
    <TaxCatchAll xmlns="59516b10-aadc-43ab-a36f-725b09a2742d" xsi:nil="true"/>
  </documentManagement>
</p:properties>
</file>

<file path=customXml/itemProps1.xml><?xml version="1.0" encoding="utf-8"?>
<ds:datastoreItem xmlns:ds="http://schemas.openxmlformats.org/officeDocument/2006/customXml" ds:itemID="{0B65F3C9-5404-412F-9F7A-E591E68A9F80}">
  <ds:schemaRefs>
    <ds:schemaRef ds:uri="http://schemas.microsoft.com/sharepoint/v3/contenttype/forms"/>
  </ds:schemaRefs>
</ds:datastoreItem>
</file>

<file path=customXml/itemProps2.xml><?xml version="1.0" encoding="utf-8"?>
<ds:datastoreItem xmlns:ds="http://schemas.openxmlformats.org/officeDocument/2006/customXml" ds:itemID="{8AF4FE5A-55E9-465B-A54E-93D9B1DB6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60150-227e-4aa2-999f-8c9d550b9aa7"/>
    <ds:schemaRef ds:uri="59516b10-aadc-43ab-a36f-725b09a274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7137F-02E4-4C07-A83E-40261750AA0C}">
  <ds:schemaRefs>
    <ds:schemaRef ds:uri="http://schemas.microsoft.com/office/2006/metadata/properties"/>
    <ds:schemaRef ds:uri="http://schemas.microsoft.com/office/infopath/2007/PartnerControls"/>
    <ds:schemaRef ds:uri="d9760150-227e-4aa2-999f-8c9d550b9aa7"/>
    <ds:schemaRef ds:uri="59516b10-aadc-43ab-a36f-725b09a2742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13</TotalTime>
  <Pages>5</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Olha Florynska</dc:creator>
  <cp:keywords/>
  <dc:description/>
  <cp:lastModifiedBy>Olha Florynska</cp:lastModifiedBy>
  <cp:revision>3</cp:revision>
  <dcterms:created xsi:type="dcterms:W3CDTF">2026-05-15T12:40:00Z</dcterms:created>
  <dcterms:modified xsi:type="dcterms:W3CDTF">2026-05-15T12:47:00Z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0x0101002A62721D7BA06046A9C05BECEA38E7BC</vt:lpwstr>
  </property>
  <property fmtid="{D5CDD505-2E9C-101B-9397-08002B2CF9AE}" pid="3" name="MediaServiceImageTags">
    <vt:lpwstr/>
  </property>
  <property fmtid="{D5CDD505-2E9C-101B-9397-08002B2CF9AE}" pid="4" name="GrammarlyDocumentId">
    <vt:lpwstr>34699d3e-70ff-4f15-9506-f01d463e35f8</vt:lpwstr>
  </property>
</Properties>
</file>