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4AE2F" w14:textId="5AC448DC" w:rsidR="00D959B1" w:rsidRPr="00EF42FC" w:rsidRDefault="00D959B1" w:rsidP="0074726C">
      <w:pPr>
        <w:spacing w:after="0" w:line="360" w:lineRule="auto"/>
        <w:jc w:val="center"/>
        <w:rPr>
          <w:rFonts w:eastAsia="Calibri" w:cs="Arial"/>
          <w:b/>
          <w:szCs w:val="24"/>
        </w:rPr>
      </w:pPr>
      <w:r w:rsidRPr="00EF42FC">
        <w:rPr>
          <w:rFonts w:eastAsia="Calibri" w:cs="Arial"/>
          <w:b/>
          <w:szCs w:val="24"/>
        </w:rPr>
        <w:t>BULETIN DE RECENZII</w:t>
      </w:r>
    </w:p>
    <w:p w14:paraId="60CDF5B6" w14:textId="77777777" w:rsidR="00975A98" w:rsidRPr="00EF42FC" w:rsidRDefault="00975A98" w:rsidP="00D959B1">
      <w:pPr>
        <w:spacing w:after="0" w:line="240" w:lineRule="auto"/>
        <w:rPr>
          <w:rFonts w:eastAsia="Calibri" w:cs="Arial"/>
          <w:sz w:val="20"/>
          <w:szCs w:val="20"/>
        </w:rPr>
      </w:pPr>
    </w:p>
    <w:tbl>
      <w:tblPr>
        <w:tblW w:w="5053"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
        <w:gridCol w:w="1763"/>
        <w:gridCol w:w="1160"/>
        <w:gridCol w:w="3538"/>
        <w:gridCol w:w="5755"/>
        <w:gridCol w:w="1188"/>
      </w:tblGrid>
      <w:tr w:rsidR="00D959B1" w:rsidRPr="00EF42FC" w14:paraId="68ED20FC" w14:textId="77777777" w:rsidTr="00751C97">
        <w:tc>
          <w:tcPr>
            <w:tcW w:w="884" w:type="pct"/>
            <w:gridSpan w:val="2"/>
            <w:tcBorders>
              <w:top w:val="single" w:sz="4" w:space="0" w:color="000000"/>
              <w:left w:val="single" w:sz="4" w:space="0" w:color="000000"/>
              <w:bottom w:val="single" w:sz="4" w:space="0" w:color="000000"/>
              <w:right w:val="single" w:sz="4" w:space="0" w:color="000000"/>
            </w:tcBorders>
          </w:tcPr>
          <w:p w14:paraId="78ADD217" w14:textId="75B82221" w:rsidR="00D959B1" w:rsidRPr="00EF42FC" w:rsidRDefault="00D959B1" w:rsidP="00751C97">
            <w:pPr>
              <w:spacing w:after="0" w:line="240" w:lineRule="auto"/>
              <w:jc w:val="center"/>
              <w:rPr>
                <w:rFonts w:eastAsia="Calibri" w:cs="Arial"/>
                <w:b/>
                <w:szCs w:val="24"/>
              </w:rPr>
            </w:pPr>
            <w:r w:rsidRPr="00EF42FC">
              <w:rPr>
                <w:rFonts w:eastAsia="Calibri" w:cs="Arial"/>
                <w:b/>
                <w:szCs w:val="24"/>
              </w:rPr>
              <w:t>Data:</w:t>
            </w:r>
            <w:r w:rsidR="00366B53">
              <w:rPr>
                <w:rFonts w:eastAsia="Calibri" w:cs="Arial"/>
                <w:b/>
                <w:szCs w:val="24"/>
              </w:rPr>
              <w:t xml:space="preserve"> </w:t>
            </w:r>
            <w:r w:rsidR="001441D2">
              <w:rPr>
                <w:rFonts w:eastAsia="Calibri" w:cs="Arial"/>
                <w:b/>
                <w:szCs w:val="24"/>
              </w:rPr>
              <w:t>13</w:t>
            </w:r>
            <w:r w:rsidR="00366B53">
              <w:rPr>
                <w:rFonts w:eastAsia="Calibri" w:cs="Arial"/>
                <w:b/>
                <w:szCs w:val="24"/>
              </w:rPr>
              <w:t>.</w:t>
            </w:r>
            <w:r w:rsidR="001441D2">
              <w:rPr>
                <w:rFonts w:eastAsia="Calibri" w:cs="Arial"/>
                <w:b/>
                <w:szCs w:val="24"/>
              </w:rPr>
              <w:t>02</w:t>
            </w:r>
            <w:r w:rsidR="00366B53">
              <w:rPr>
                <w:rFonts w:eastAsia="Calibri" w:cs="Arial"/>
                <w:b/>
                <w:szCs w:val="24"/>
              </w:rPr>
              <w:t>.202</w:t>
            </w:r>
            <w:r w:rsidR="001441D2">
              <w:rPr>
                <w:rFonts w:eastAsia="Calibri" w:cs="Arial"/>
                <w:b/>
                <w:szCs w:val="24"/>
              </w:rPr>
              <w:t>6</w:t>
            </w:r>
          </w:p>
        </w:tc>
        <w:tc>
          <w:tcPr>
            <w:tcW w:w="4116" w:type="pct"/>
            <w:gridSpan w:val="4"/>
            <w:vMerge w:val="restart"/>
            <w:tcBorders>
              <w:top w:val="single" w:sz="4" w:space="0" w:color="000000"/>
              <w:left w:val="single" w:sz="4" w:space="0" w:color="000000"/>
              <w:right w:val="single" w:sz="4" w:space="0" w:color="000000"/>
            </w:tcBorders>
          </w:tcPr>
          <w:p w14:paraId="4F9C3078" w14:textId="77777777" w:rsidR="001441D2" w:rsidRPr="001441D2" w:rsidRDefault="00D959B1" w:rsidP="001441D2">
            <w:pPr>
              <w:spacing w:after="0" w:line="240" w:lineRule="auto"/>
              <w:ind w:left="-83" w:right="-113" w:hanging="14"/>
              <w:rPr>
                <w:rFonts w:eastAsia="Calibri" w:cs="Arial"/>
                <w:b/>
                <w:bCs/>
                <w:szCs w:val="24"/>
              </w:rPr>
            </w:pPr>
            <w:r w:rsidRPr="00EF42FC">
              <w:rPr>
                <w:rFonts w:eastAsia="Calibri" w:cs="Arial"/>
                <w:b/>
                <w:szCs w:val="24"/>
              </w:rPr>
              <w:t xml:space="preserve">Proiectul documentului normativ: </w:t>
            </w:r>
            <w:r w:rsidR="001326A8" w:rsidRPr="00EF42FC">
              <w:rPr>
                <w:szCs w:val="24"/>
              </w:rPr>
              <w:t xml:space="preserve"> </w:t>
            </w:r>
            <w:r w:rsidR="001441D2" w:rsidRPr="001441D2">
              <w:rPr>
                <w:rFonts w:eastAsia="Calibri" w:cs="Arial"/>
                <w:b/>
                <w:bCs/>
                <w:szCs w:val="24"/>
              </w:rPr>
              <w:t>NCM G.04.00:2026</w:t>
            </w:r>
            <w:r w:rsidR="002A6612">
              <w:rPr>
                <w:rFonts w:eastAsia="Calibri" w:cs="Arial"/>
                <w:b/>
                <w:bCs/>
                <w:szCs w:val="24"/>
              </w:rPr>
              <w:t xml:space="preserve"> „</w:t>
            </w:r>
            <w:r w:rsidR="001441D2" w:rsidRPr="001441D2">
              <w:rPr>
                <w:rFonts w:eastAsia="Calibri" w:cs="Arial"/>
                <w:b/>
                <w:bCs/>
                <w:szCs w:val="24"/>
              </w:rPr>
              <w:t>Încălzire, ventilare și condiționare a aerului în clădiri</w:t>
            </w:r>
          </w:p>
          <w:p w14:paraId="229FD64E" w14:textId="35FC5D90" w:rsidR="00D959B1" w:rsidRPr="00EF42FC" w:rsidRDefault="001441D2" w:rsidP="001441D2">
            <w:pPr>
              <w:spacing w:after="0" w:line="240" w:lineRule="auto"/>
              <w:ind w:left="-83" w:right="-113" w:hanging="14"/>
              <w:rPr>
                <w:rFonts w:eastAsia="Calibri" w:cs="Arial"/>
                <w:b/>
                <w:szCs w:val="24"/>
              </w:rPr>
            </w:pPr>
            <w:r w:rsidRPr="001441D2">
              <w:rPr>
                <w:rFonts w:eastAsia="Calibri" w:cs="Arial"/>
                <w:b/>
                <w:bCs/>
                <w:szCs w:val="24"/>
              </w:rPr>
              <w:t>rezidențiale. Norme de proiectare</w:t>
            </w:r>
            <w:r w:rsidR="002A6612">
              <w:rPr>
                <w:rFonts w:eastAsia="Calibri" w:cs="Arial"/>
                <w:b/>
                <w:bCs/>
                <w:szCs w:val="24"/>
              </w:rPr>
              <w:t>”</w:t>
            </w:r>
            <w:r w:rsidR="001326A8" w:rsidRPr="00EF42FC">
              <w:rPr>
                <w:rFonts w:eastAsia="Calibri" w:cs="Arial"/>
                <w:b/>
                <w:szCs w:val="24"/>
              </w:rPr>
              <w:t>.</w:t>
            </w:r>
          </w:p>
        </w:tc>
      </w:tr>
      <w:tr w:rsidR="00D959B1" w:rsidRPr="00EF42FC" w14:paraId="1F61F296" w14:textId="77777777" w:rsidTr="00751C97">
        <w:tc>
          <w:tcPr>
            <w:tcW w:w="884" w:type="pct"/>
            <w:gridSpan w:val="2"/>
            <w:tcBorders>
              <w:top w:val="single" w:sz="4" w:space="0" w:color="000000"/>
              <w:left w:val="single" w:sz="4" w:space="0" w:color="000000"/>
              <w:bottom w:val="single" w:sz="4" w:space="0" w:color="000000"/>
              <w:right w:val="single" w:sz="4" w:space="0" w:color="000000"/>
            </w:tcBorders>
          </w:tcPr>
          <w:p w14:paraId="6C175BA8" w14:textId="3601EF74" w:rsidR="00D959B1" w:rsidRPr="00EF42FC" w:rsidRDefault="00D959B1" w:rsidP="00751C97">
            <w:pPr>
              <w:spacing w:after="0" w:line="240" w:lineRule="auto"/>
              <w:jc w:val="center"/>
              <w:rPr>
                <w:rFonts w:eastAsia="Calibri" w:cs="Arial"/>
                <w:b/>
                <w:szCs w:val="24"/>
              </w:rPr>
            </w:pPr>
            <w:r w:rsidRPr="00EF42FC">
              <w:rPr>
                <w:rFonts w:eastAsia="Calibri" w:cs="Arial"/>
                <w:b/>
                <w:szCs w:val="24"/>
              </w:rPr>
              <w:t>Etapa:</w:t>
            </w:r>
            <w:r w:rsidR="009217BB">
              <w:rPr>
                <w:rFonts w:eastAsia="Calibri" w:cs="Arial"/>
                <w:b/>
                <w:szCs w:val="24"/>
              </w:rPr>
              <w:t xml:space="preserve"> P</w:t>
            </w:r>
            <w:r w:rsidR="00366B53">
              <w:rPr>
                <w:rFonts w:eastAsia="Calibri" w:cs="Arial"/>
                <w:b/>
                <w:szCs w:val="24"/>
              </w:rPr>
              <w:t>A</w:t>
            </w:r>
          </w:p>
        </w:tc>
        <w:tc>
          <w:tcPr>
            <w:tcW w:w="4116" w:type="pct"/>
            <w:gridSpan w:val="4"/>
            <w:vMerge/>
            <w:tcBorders>
              <w:left w:val="single" w:sz="4" w:space="0" w:color="000000"/>
              <w:right w:val="single" w:sz="4" w:space="0" w:color="000000"/>
            </w:tcBorders>
          </w:tcPr>
          <w:p w14:paraId="57241C63" w14:textId="77777777" w:rsidR="00D959B1" w:rsidRPr="00EF42FC" w:rsidRDefault="00D959B1" w:rsidP="001A22C8">
            <w:pPr>
              <w:spacing w:after="0" w:line="240" w:lineRule="auto"/>
              <w:ind w:left="-83" w:right="-113" w:hanging="14"/>
              <w:jc w:val="center"/>
              <w:rPr>
                <w:rFonts w:eastAsia="Calibri" w:cs="Arial"/>
                <w:b/>
                <w:szCs w:val="24"/>
              </w:rPr>
            </w:pPr>
          </w:p>
        </w:tc>
      </w:tr>
      <w:tr w:rsidR="00D959B1" w:rsidRPr="00EF42FC" w14:paraId="2438B444" w14:textId="77777777" w:rsidTr="00751C97">
        <w:tc>
          <w:tcPr>
            <w:tcW w:w="884" w:type="pct"/>
            <w:gridSpan w:val="2"/>
            <w:tcBorders>
              <w:top w:val="single" w:sz="4" w:space="0" w:color="000000"/>
              <w:left w:val="single" w:sz="4" w:space="0" w:color="000000"/>
              <w:bottom w:val="single" w:sz="4" w:space="0" w:color="000000"/>
              <w:right w:val="single" w:sz="4" w:space="0" w:color="000000"/>
            </w:tcBorders>
          </w:tcPr>
          <w:p w14:paraId="0BA41832" w14:textId="034BF522" w:rsidR="00D959B1" w:rsidRPr="00EF42FC" w:rsidRDefault="00D959B1" w:rsidP="00751C97">
            <w:pPr>
              <w:spacing w:after="0" w:line="240" w:lineRule="auto"/>
              <w:jc w:val="center"/>
              <w:rPr>
                <w:rFonts w:eastAsia="Calibri" w:cs="Arial"/>
                <w:b/>
                <w:szCs w:val="24"/>
              </w:rPr>
            </w:pPr>
          </w:p>
        </w:tc>
        <w:tc>
          <w:tcPr>
            <w:tcW w:w="4116" w:type="pct"/>
            <w:gridSpan w:val="4"/>
            <w:vMerge/>
            <w:tcBorders>
              <w:left w:val="single" w:sz="4" w:space="0" w:color="000000"/>
              <w:bottom w:val="single" w:sz="4" w:space="0" w:color="000000"/>
              <w:right w:val="single" w:sz="4" w:space="0" w:color="000000"/>
            </w:tcBorders>
          </w:tcPr>
          <w:p w14:paraId="3140F661" w14:textId="77777777" w:rsidR="00D959B1" w:rsidRPr="00EF42FC" w:rsidRDefault="00D959B1" w:rsidP="001A22C8">
            <w:pPr>
              <w:spacing w:after="0" w:line="240" w:lineRule="auto"/>
              <w:ind w:left="-83" w:right="-113" w:hanging="14"/>
              <w:jc w:val="center"/>
              <w:rPr>
                <w:rFonts w:eastAsia="Calibri" w:cs="Arial"/>
                <w:b/>
                <w:szCs w:val="24"/>
              </w:rPr>
            </w:pPr>
          </w:p>
        </w:tc>
      </w:tr>
      <w:tr w:rsidR="001A22C8" w:rsidRPr="00EF42FC" w14:paraId="7400FE65" w14:textId="77777777" w:rsidTr="00751C97">
        <w:tc>
          <w:tcPr>
            <w:tcW w:w="261" w:type="pct"/>
            <w:tcBorders>
              <w:top w:val="single" w:sz="4" w:space="0" w:color="000000"/>
              <w:left w:val="single" w:sz="4" w:space="0" w:color="000000"/>
              <w:bottom w:val="single" w:sz="4" w:space="0" w:color="000000"/>
              <w:right w:val="single" w:sz="4" w:space="0" w:color="000000"/>
            </w:tcBorders>
            <w:hideMark/>
          </w:tcPr>
          <w:p w14:paraId="2E68640E" w14:textId="77777777" w:rsidR="00D959B1" w:rsidRPr="00EF42FC" w:rsidRDefault="00D959B1" w:rsidP="00751C97">
            <w:pPr>
              <w:spacing w:after="0" w:line="240" w:lineRule="auto"/>
              <w:ind w:right="-88" w:hanging="84"/>
              <w:jc w:val="center"/>
              <w:rPr>
                <w:rFonts w:eastAsia="Calibri" w:cs="Arial"/>
                <w:b/>
                <w:szCs w:val="24"/>
              </w:rPr>
            </w:pPr>
            <w:r w:rsidRPr="00EF42FC">
              <w:rPr>
                <w:rFonts w:eastAsia="Calibri" w:cs="Arial"/>
                <w:b/>
                <w:szCs w:val="24"/>
              </w:rPr>
              <w:t>Nr. crt.</w:t>
            </w:r>
          </w:p>
        </w:tc>
        <w:tc>
          <w:tcPr>
            <w:tcW w:w="623" w:type="pct"/>
            <w:tcBorders>
              <w:top w:val="single" w:sz="4" w:space="0" w:color="000000"/>
              <w:left w:val="single" w:sz="4" w:space="0" w:color="000000"/>
              <w:bottom w:val="single" w:sz="4" w:space="0" w:color="000000"/>
              <w:right w:val="single" w:sz="4" w:space="0" w:color="000000"/>
            </w:tcBorders>
            <w:hideMark/>
          </w:tcPr>
          <w:p w14:paraId="75D32E45" w14:textId="468D8DAF" w:rsidR="00D959B1" w:rsidRPr="00EF42FC" w:rsidRDefault="00D959B1" w:rsidP="00751C97">
            <w:pPr>
              <w:spacing w:after="0" w:line="240" w:lineRule="auto"/>
              <w:jc w:val="center"/>
              <w:rPr>
                <w:rFonts w:eastAsia="Calibri" w:cs="Arial"/>
                <w:b/>
                <w:szCs w:val="24"/>
              </w:rPr>
            </w:pPr>
            <w:r w:rsidRPr="00EF42FC">
              <w:rPr>
                <w:rFonts w:eastAsia="Calibri" w:cs="Arial"/>
                <w:b/>
                <w:szCs w:val="24"/>
              </w:rPr>
              <w:t>Capitol/Punct din documentul normativ</w:t>
            </w:r>
          </w:p>
        </w:tc>
        <w:tc>
          <w:tcPr>
            <w:tcW w:w="410" w:type="pct"/>
            <w:tcBorders>
              <w:top w:val="single" w:sz="4" w:space="0" w:color="000000"/>
              <w:left w:val="single" w:sz="4" w:space="0" w:color="000000"/>
              <w:bottom w:val="single" w:sz="4" w:space="0" w:color="000000"/>
              <w:right w:val="single" w:sz="4" w:space="0" w:color="000000"/>
            </w:tcBorders>
            <w:hideMark/>
          </w:tcPr>
          <w:p w14:paraId="41A30E51" w14:textId="77777777" w:rsidR="00D959B1" w:rsidRPr="00EF42FC" w:rsidRDefault="00D959B1" w:rsidP="001A22C8">
            <w:pPr>
              <w:spacing w:after="0" w:line="240" w:lineRule="auto"/>
              <w:jc w:val="center"/>
              <w:rPr>
                <w:rFonts w:eastAsia="Calibri" w:cs="Arial"/>
                <w:b/>
                <w:szCs w:val="24"/>
              </w:rPr>
            </w:pPr>
            <w:r w:rsidRPr="00EF42FC">
              <w:rPr>
                <w:rFonts w:eastAsia="Calibri" w:cs="Arial"/>
                <w:b/>
                <w:szCs w:val="24"/>
              </w:rPr>
              <w:t>Autor obiecții</w:t>
            </w:r>
          </w:p>
        </w:tc>
        <w:tc>
          <w:tcPr>
            <w:tcW w:w="1251" w:type="pct"/>
            <w:tcBorders>
              <w:top w:val="single" w:sz="4" w:space="0" w:color="000000"/>
              <w:left w:val="single" w:sz="4" w:space="0" w:color="000000"/>
              <w:bottom w:val="single" w:sz="4" w:space="0" w:color="000000"/>
              <w:right w:val="single" w:sz="4" w:space="0" w:color="000000"/>
            </w:tcBorders>
          </w:tcPr>
          <w:p w14:paraId="27692001" w14:textId="76B2BBE8" w:rsidR="00D959B1" w:rsidRPr="00EF42FC" w:rsidRDefault="00D959B1" w:rsidP="001A22C8">
            <w:pPr>
              <w:spacing w:after="0" w:line="240" w:lineRule="auto"/>
              <w:ind w:left="-83" w:right="-113" w:hanging="14"/>
              <w:jc w:val="center"/>
              <w:rPr>
                <w:rFonts w:eastAsia="Calibri" w:cs="Arial"/>
                <w:b/>
                <w:szCs w:val="24"/>
              </w:rPr>
            </w:pPr>
            <w:r w:rsidRPr="00EF42FC">
              <w:rPr>
                <w:rFonts w:eastAsia="Calibri" w:cs="Arial"/>
                <w:b/>
                <w:szCs w:val="24"/>
              </w:rPr>
              <w:t>Obiecții/propuneri</w:t>
            </w:r>
          </w:p>
        </w:tc>
        <w:tc>
          <w:tcPr>
            <w:tcW w:w="2035" w:type="pct"/>
            <w:tcBorders>
              <w:top w:val="single" w:sz="4" w:space="0" w:color="000000"/>
              <w:left w:val="single" w:sz="4" w:space="0" w:color="000000"/>
              <w:bottom w:val="single" w:sz="4" w:space="0" w:color="000000"/>
              <w:right w:val="single" w:sz="4" w:space="0" w:color="000000"/>
            </w:tcBorders>
            <w:hideMark/>
          </w:tcPr>
          <w:p w14:paraId="06FD9365" w14:textId="45FC2F63" w:rsidR="00D959B1" w:rsidRPr="00EF42FC" w:rsidRDefault="00D959B1" w:rsidP="001A22C8">
            <w:pPr>
              <w:spacing w:after="0" w:line="240" w:lineRule="auto"/>
              <w:ind w:left="-83" w:right="-113" w:hanging="14"/>
              <w:jc w:val="center"/>
              <w:rPr>
                <w:rFonts w:eastAsia="Calibri" w:cs="Arial"/>
                <w:b/>
                <w:szCs w:val="24"/>
              </w:rPr>
            </w:pPr>
            <w:r w:rsidRPr="00EF42FC">
              <w:rPr>
                <w:rFonts w:eastAsia="Calibri" w:cs="Arial"/>
                <w:b/>
                <w:szCs w:val="24"/>
              </w:rPr>
              <w:t>Argumentare</w:t>
            </w:r>
          </w:p>
        </w:tc>
        <w:tc>
          <w:tcPr>
            <w:tcW w:w="420" w:type="pct"/>
            <w:tcBorders>
              <w:top w:val="single" w:sz="4" w:space="0" w:color="000000"/>
              <w:left w:val="single" w:sz="4" w:space="0" w:color="000000"/>
              <w:bottom w:val="single" w:sz="4" w:space="0" w:color="000000"/>
              <w:right w:val="single" w:sz="4" w:space="0" w:color="000000"/>
            </w:tcBorders>
          </w:tcPr>
          <w:p w14:paraId="490C32AD" w14:textId="77777777" w:rsidR="00D959B1" w:rsidRPr="00EF42FC" w:rsidRDefault="00D959B1" w:rsidP="001A22C8">
            <w:pPr>
              <w:spacing w:after="0" w:line="240" w:lineRule="auto"/>
              <w:ind w:left="-83" w:right="-113" w:hanging="14"/>
              <w:jc w:val="center"/>
              <w:rPr>
                <w:rFonts w:eastAsia="Calibri" w:cs="Arial"/>
                <w:b/>
                <w:szCs w:val="24"/>
              </w:rPr>
            </w:pPr>
            <w:r w:rsidRPr="00EF42FC">
              <w:rPr>
                <w:rFonts w:eastAsia="Calibri" w:cs="Arial"/>
                <w:b/>
                <w:szCs w:val="24"/>
              </w:rPr>
              <w:t>Decizia CT-C (</w:t>
            </w:r>
            <w:r w:rsidRPr="00EF42FC">
              <w:rPr>
                <w:rFonts w:eastAsia="Calibri" w:cs="Arial"/>
                <w:b/>
                <w:i/>
                <w:szCs w:val="24"/>
              </w:rPr>
              <w:t>acceptat</w:t>
            </w:r>
            <w:r w:rsidRPr="00EF42FC">
              <w:rPr>
                <w:rFonts w:eastAsia="Calibri" w:cs="Arial"/>
                <w:b/>
                <w:szCs w:val="24"/>
              </w:rPr>
              <w:t xml:space="preserve"> sau </w:t>
            </w:r>
            <w:r w:rsidRPr="00EF42FC">
              <w:rPr>
                <w:rFonts w:eastAsia="Calibri" w:cs="Arial"/>
                <w:b/>
                <w:i/>
                <w:szCs w:val="24"/>
              </w:rPr>
              <w:t>respins</w:t>
            </w:r>
            <w:r w:rsidRPr="00EF42FC">
              <w:rPr>
                <w:rFonts w:eastAsia="Calibri" w:cs="Arial"/>
                <w:b/>
                <w:szCs w:val="24"/>
              </w:rPr>
              <w:t>)</w:t>
            </w:r>
          </w:p>
        </w:tc>
      </w:tr>
      <w:tr w:rsidR="001A22C8" w:rsidRPr="00EF42FC" w14:paraId="20E51BC1" w14:textId="77777777" w:rsidTr="00751C97">
        <w:tc>
          <w:tcPr>
            <w:tcW w:w="261" w:type="pct"/>
            <w:tcBorders>
              <w:top w:val="single" w:sz="4" w:space="0" w:color="000000"/>
              <w:left w:val="single" w:sz="4" w:space="0" w:color="000000"/>
              <w:bottom w:val="single" w:sz="4" w:space="0" w:color="000000"/>
              <w:right w:val="single" w:sz="4" w:space="0" w:color="000000"/>
            </w:tcBorders>
            <w:hideMark/>
          </w:tcPr>
          <w:p w14:paraId="652C69F1" w14:textId="77777777" w:rsidR="00D959B1" w:rsidRPr="00EF42FC" w:rsidRDefault="00D959B1" w:rsidP="00751C97">
            <w:pPr>
              <w:spacing w:after="0" w:line="240" w:lineRule="auto"/>
              <w:ind w:left="-112" w:right="-113" w:firstLine="14"/>
              <w:jc w:val="center"/>
              <w:rPr>
                <w:rFonts w:eastAsia="Calibri" w:cs="Arial"/>
                <w:b/>
                <w:sz w:val="20"/>
                <w:szCs w:val="20"/>
              </w:rPr>
            </w:pPr>
            <w:r w:rsidRPr="00EF42FC">
              <w:rPr>
                <w:rFonts w:eastAsia="Calibri" w:cs="Arial"/>
                <w:b/>
                <w:sz w:val="20"/>
                <w:szCs w:val="20"/>
              </w:rPr>
              <w:t>1</w:t>
            </w:r>
          </w:p>
        </w:tc>
        <w:tc>
          <w:tcPr>
            <w:tcW w:w="623" w:type="pct"/>
            <w:tcBorders>
              <w:top w:val="single" w:sz="4" w:space="0" w:color="000000"/>
              <w:left w:val="single" w:sz="4" w:space="0" w:color="000000"/>
              <w:bottom w:val="single" w:sz="4" w:space="0" w:color="000000"/>
              <w:right w:val="single" w:sz="4" w:space="0" w:color="000000"/>
            </w:tcBorders>
            <w:hideMark/>
          </w:tcPr>
          <w:p w14:paraId="73E92920" w14:textId="77777777" w:rsidR="00D959B1" w:rsidRPr="00EF42FC" w:rsidRDefault="00D959B1" w:rsidP="00751C97">
            <w:pPr>
              <w:spacing w:after="0" w:line="240" w:lineRule="auto"/>
              <w:ind w:left="-61" w:right="-38" w:hanging="14"/>
              <w:jc w:val="center"/>
              <w:rPr>
                <w:rFonts w:eastAsia="Calibri" w:cs="Arial"/>
                <w:b/>
                <w:sz w:val="20"/>
                <w:szCs w:val="20"/>
              </w:rPr>
            </w:pPr>
            <w:r w:rsidRPr="00EF42FC">
              <w:rPr>
                <w:rFonts w:eastAsia="Calibri" w:cs="Arial"/>
                <w:b/>
                <w:sz w:val="20"/>
                <w:szCs w:val="20"/>
              </w:rPr>
              <w:t>2</w:t>
            </w:r>
          </w:p>
        </w:tc>
        <w:tc>
          <w:tcPr>
            <w:tcW w:w="410" w:type="pct"/>
            <w:tcBorders>
              <w:top w:val="single" w:sz="4" w:space="0" w:color="000000"/>
              <w:left w:val="single" w:sz="4" w:space="0" w:color="000000"/>
              <w:bottom w:val="single" w:sz="4" w:space="0" w:color="000000"/>
              <w:right w:val="single" w:sz="4" w:space="0" w:color="000000"/>
            </w:tcBorders>
          </w:tcPr>
          <w:p w14:paraId="52DBA404" w14:textId="77777777" w:rsidR="00D959B1" w:rsidRPr="00EF42FC" w:rsidRDefault="00D959B1" w:rsidP="001A22C8">
            <w:pPr>
              <w:spacing w:after="0" w:line="240" w:lineRule="auto"/>
              <w:ind w:left="-80" w:right="-94" w:hanging="14"/>
              <w:jc w:val="center"/>
              <w:rPr>
                <w:rFonts w:eastAsia="Calibri" w:cs="Arial"/>
                <w:b/>
                <w:sz w:val="20"/>
                <w:szCs w:val="20"/>
              </w:rPr>
            </w:pPr>
            <w:r w:rsidRPr="00EF42FC">
              <w:rPr>
                <w:rFonts w:eastAsia="Calibri" w:cs="Arial"/>
                <w:b/>
                <w:sz w:val="20"/>
                <w:szCs w:val="20"/>
              </w:rPr>
              <w:t>3</w:t>
            </w:r>
          </w:p>
        </w:tc>
        <w:tc>
          <w:tcPr>
            <w:tcW w:w="1251" w:type="pct"/>
            <w:tcBorders>
              <w:top w:val="single" w:sz="4" w:space="0" w:color="000000"/>
              <w:left w:val="single" w:sz="4" w:space="0" w:color="000000"/>
              <w:bottom w:val="single" w:sz="4" w:space="0" w:color="000000"/>
              <w:right w:val="single" w:sz="4" w:space="0" w:color="000000"/>
            </w:tcBorders>
          </w:tcPr>
          <w:p w14:paraId="4F2FFCCD" w14:textId="77777777" w:rsidR="00D959B1" w:rsidRPr="00EF42FC" w:rsidRDefault="00D959B1" w:rsidP="001A22C8">
            <w:pPr>
              <w:spacing w:after="0" w:line="240" w:lineRule="auto"/>
              <w:jc w:val="center"/>
              <w:rPr>
                <w:rFonts w:eastAsia="Calibri" w:cs="Arial"/>
                <w:b/>
                <w:sz w:val="20"/>
                <w:szCs w:val="20"/>
              </w:rPr>
            </w:pPr>
            <w:r w:rsidRPr="00EF42FC">
              <w:rPr>
                <w:rFonts w:eastAsia="Calibri" w:cs="Arial"/>
                <w:b/>
                <w:sz w:val="20"/>
                <w:szCs w:val="20"/>
              </w:rPr>
              <w:t>4</w:t>
            </w:r>
          </w:p>
        </w:tc>
        <w:tc>
          <w:tcPr>
            <w:tcW w:w="2035" w:type="pct"/>
            <w:tcBorders>
              <w:top w:val="single" w:sz="4" w:space="0" w:color="000000"/>
              <w:left w:val="single" w:sz="4" w:space="0" w:color="000000"/>
              <w:bottom w:val="single" w:sz="4" w:space="0" w:color="000000"/>
              <w:right w:val="single" w:sz="4" w:space="0" w:color="000000"/>
            </w:tcBorders>
          </w:tcPr>
          <w:p w14:paraId="7F022C05" w14:textId="77777777" w:rsidR="00D959B1" w:rsidRPr="00EF42FC" w:rsidRDefault="00D959B1" w:rsidP="001A22C8">
            <w:pPr>
              <w:spacing w:after="0" w:line="240" w:lineRule="auto"/>
              <w:jc w:val="center"/>
              <w:rPr>
                <w:rFonts w:eastAsia="Calibri" w:cs="Arial"/>
                <w:b/>
                <w:sz w:val="20"/>
                <w:szCs w:val="20"/>
              </w:rPr>
            </w:pPr>
            <w:r w:rsidRPr="00EF42FC">
              <w:rPr>
                <w:rFonts w:eastAsia="Calibri" w:cs="Arial"/>
                <w:b/>
                <w:sz w:val="20"/>
                <w:szCs w:val="20"/>
              </w:rPr>
              <w:t>5</w:t>
            </w:r>
          </w:p>
        </w:tc>
        <w:tc>
          <w:tcPr>
            <w:tcW w:w="420" w:type="pct"/>
            <w:tcBorders>
              <w:top w:val="single" w:sz="4" w:space="0" w:color="000000"/>
              <w:left w:val="single" w:sz="4" w:space="0" w:color="000000"/>
              <w:bottom w:val="single" w:sz="4" w:space="0" w:color="000000"/>
              <w:right w:val="single" w:sz="4" w:space="0" w:color="000000"/>
            </w:tcBorders>
          </w:tcPr>
          <w:p w14:paraId="115FBD12" w14:textId="77777777" w:rsidR="00D959B1" w:rsidRPr="00EF42FC" w:rsidRDefault="00D959B1" w:rsidP="001A22C8">
            <w:pPr>
              <w:spacing w:after="0" w:line="240" w:lineRule="auto"/>
              <w:jc w:val="center"/>
              <w:rPr>
                <w:rFonts w:eastAsia="Calibri" w:cs="Arial"/>
                <w:b/>
                <w:sz w:val="20"/>
                <w:szCs w:val="20"/>
              </w:rPr>
            </w:pPr>
            <w:r w:rsidRPr="00EF42FC">
              <w:rPr>
                <w:rFonts w:eastAsia="Calibri" w:cs="Arial"/>
                <w:b/>
                <w:sz w:val="20"/>
                <w:szCs w:val="20"/>
              </w:rPr>
              <w:t>6</w:t>
            </w:r>
          </w:p>
        </w:tc>
      </w:tr>
      <w:tr w:rsidR="001A22C8" w:rsidRPr="00EF42FC" w14:paraId="3AC579AA" w14:textId="77777777" w:rsidTr="00751C97">
        <w:tc>
          <w:tcPr>
            <w:tcW w:w="261" w:type="pct"/>
            <w:tcBorders>
              <w:top w:val="single" w:sz="4" w:space="0" w:color="000000"/>
              <w:left w:val="single" w:sz="4" w:space="0" w:color="000000"/>
              <w:bottom w:val="single" w:sz="4" w:space="0" w:color="000000"/>
              <w:right w:val="single" w:sz="4" w:space="0" w:color="000000"/>
            </w:tcBorders>
            <w:hideMark/>
          </w:tcPr>
          <w:p w14:paraId="10668825" w14:textId="4445A65F" w:rsidR="00D959B1" w:rsidRPr="00EF42FC" w:rsidRDefault="00D959B1" w:rsidP="00751C97">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hideMark/>
          </w:tcPr>
          <w:p w14:paraId="48819C6D" w14:textId="48561999" w:rsidR="00D959B1" w:rsidRPr="00EF42FC" w:rsidRDefault="001326A8" w:rsidP="00751C97">
            <w:pPr>
              <w:spacing w:after="0" w:line="240" w:lineRule="auto"/>
              <w:ind w:left="-61" w:right="-38" w:hanging="14"/>
              <w:jc w:val="center"/>
              <w:rPr>
                <w:rFonts w:eastAsia="Calibri" w:cs="Arial"/>
                <w:szCs w:val="24"/>
              </w:rPr>
            </w:pPr>
            <w:r w:rsidRPr="00EF42FC">
              <w:rPr>
                <w:rFonts w:eastAsia="Calibri" w:cs="Arial"/>
                <w:szCs w:val="24"/>
              </w:rPr>
              <w:t>Prima pagină</w:t>
            </w:r>
          </w:p>
        </w:tc>
        <w:tc>
          <w:tcPr>
            <w:tcW w:w="410" w:type="pct"/>
            <w:tcBorders>
              <w:top w:val="single" w:sz="4" w:space="0" w:color="000000"/>
              <w:left w:val="single" w:sz="4" w:space="0" w:color="000000"/>
              <w:bottom w:val="single" w:sz="4" w:space="0" w:color="000000"/>
              <w:right w:val="single" w:sz="4" w:space="0" w:color="000000"/>
            </w:tcBorders>
          </w:tcPr>
          <w:p w14:paraId="2F5AE926" w14:textId="7F292D72" w:rsidR="00D959B1" w:rsidRPr="00EF42FC" w:rsidRDefault="001326A8" w:rsidP="001A22C8">
            <w:pPr>
              <w:spacing w:after="0" w:line="240" w:lineRule="auto"/>
              <w:ind w:left="-80" w:right="-94" w:hanging="14"/>
              <w:rPr>
                <w:rFonts w:eastAsia="Calibri" w:cs="Arial"/>
                <w:szCs w:val="24"/>
              </w:rPr>
            </w:pPr>
            <w:r w:rsidRPr="00EF42FC">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4C02AC99" w14:textId="34419998" w:rsidR="00DB485D" w:rsidRDefault="006121F8" w:rsidP="001A22C8">
            <w:pPr>
              <w:shd w:val="clear" w:color="auto" w:fill="FFFFFF"/>
              <w:contextualSpacing/>
              <w:jc w:val="both"/>
              <w:rPr>
                <w:rFonts w:cs="Arial"/>
                <w:szCs w:val="24"/>
              </w:rPr>
            </w:pPr>
            <w:r>
              <w:rPr>
                <w:rFonts w:cs="Arial"/>
                <w:szCs w:val="24"/>
              </w:rPr>
              <w:t>În</w:t>
            </w:r>
            <w:r w:rsidR="00DB485D">
              <w:rPr>
                <w:rFonts w:cs="Arial"/>
                <w:szCs w:val="24"/>
              </w:rPr>
              <w:t xml:space="preserve"> denumirea actului normativ </w:t>
            </w:r>
            <w:r>
              <w:rPr>
                <w:rFonts w:cs="Arial"/>
                <w:szCs w:val="24"/>
              </w:rPr>
              <w:t xml:space="preserve">a se </w:t>
            </w:r>
            <w:r w:rsidR="00DB485D">
              <w:rPr>
                <w:rFonts w:cs="Arial"/>
                <w:szCs w:val="24"/>
              </w:rPr>
              <w:t>substitui expresi</w:t>
            </w:r>
            <w:r>
              <w:rPr>
                <w:rFonts w:cs="Arial"/>
                <w:szCs w:val="24"/>
              </w:rPr>
              <w:t>a</w:t>
            </w:r>
            <w:r w:rsidR="00DB485D">
              <w:rPr>
                <w:rFonts w:cs="Arial"/>
                <w:szCs w:val="24"/>
              </w:rPr>
              <w:t xml:space="preserve"> „</w:t>
            </w:r>
            <w:r w:rsidR="001441D2">
              <w:rPr>
                <w:rFonts w:cs="Arial"/>
                <w:i/>
                <w:iCs/>
                <w:szCs w:val="24"/>
              </w:rPr>
              <w:t>Normativ în construcții</w:t>
            </w:r>
            <w:r w:rsidR="00DB485D">
              <w:rPr>
                <w:rFonts w:cs="Arial"/>
                <w:szCs w:val="24"/>
              </w:rPr>
              <w:t>” cu expresia „</w:t>
            </w:r>
            <w:r w:rsidR="001441D2" w:rsidRPr="001441D2">
              <w:rPr>
                <w:rFonts w:cs="Arial"/>
                <w:b/>
                <w:bCs/>
                <w:i/>
                <w:iCs/>
                <w:szCs w:val="24"/>
              </w:rPr>
              <w:t xml:space="preserve">Normativ </w:t>
            </w:r>
            <w:r w:rsidR="001441D2">
              <w:rPr>
                <w:rFonts w:cs="Arial"/>
                <w:b/>
                <w:bCs/>
                <w:i/>
                <w:iCs/>
                <w:szCs w:val="24"/>
              </w:rPr>
              <w:t xml:space="preserve">tehnic </w:t>
            </w:r>
            <w:r w:rsidR="001441D2" w:rsidRPr="001441D2">
              <w:rPr>
                <w:rFonts w:cs="Arial"/>
                <w:b/>
                <w:bCs/>
                <w:i/>
                <w:iCs/>
                <w:szCs w:val="24"/>
              </w:rPr>
              <w:t>în construcții</w:t>
            </w:r>
            <w:r w:rsidR="00DB485D">
              <w:rPr>
                <w:rFonts w:cs="Arial"/>
                <w:szCs w:val="24"/>
              </w:rPr>
              <w:t>”</w:t>
            </w:r>
            <w:r w:rsidR="00B27794">
              <w:rPr>
                <w:rFonts w:cs="Arial"/>
                <w:szCs w:val="24"/>
              </w:rPr>
              <w:t>.</w:t>
            </w:r>
          </w:p>
          <w:p w14:paraId="4DAF31B1" w14:textId="09C73948" w:rsidR="00D959B1" w:rsidRPr="00EF42FC" w:rsidRDefault="00D959B1" w:rsidP="001A22C8">
            <w:pPr>
              <w:shd w:val="clear" w:color="auto" w:fill="FFFFFF"/>
              <w:contextualSpacing/>
              <w:jc w:val="both"/>
              <w:rPr>
                <w:rFonts w:eastAsia="Calibri" w:cs="Arial"/>
                <w:szCs w:val="24"/>
              </w:rPr>
            </w:pPr>
          </w:p>
        </w:tc>
        <w:tc>
          <w:tcPr>
            <w:tcW w:w="2035" w:type="pct"/>
            <w:tcBorders>
              <w:top w:val="single" w:sz="4" w:space="0" w:color="000000"/>
              <w:left w:val="single" w:sz="4" w:space="0" w:color="000000"/>
              <w:bottom w:val="single" w:sz="4" w:space="0" w:color="000000"/>
              <w:right w:val="single" w:sz="4" w:space="0" w:color="000000"/>
            </w:tcBorders>
          </w:tcPr>
          <w:p w14:paraId="03E23DE8" w14:textId="28B6EF83" w:rsidR="005F5A8E" w:rsidRPr="000503BC" w:rsidRDefault="001441D2" w:rsidP="001A22C8">
            <w:pPr>
              <w:spacing w:after="0"/>
              <w:jc w:val="both"/>
              <w:rPr>
                <w:rFonts w:cs="Arial"/>
                <w:szCs w:val="24"/>
              </w:rPr>
            </w:pPr>
            <w:r>
              <w:rPr>
                <w:rFonts w:cs="Arial"/>
                <w:szCs w:val="24"/>
              </w:rPr>
              <w:t xml:space="preserve">Conform art. 3 din Codul urbanismului și construcțiilor nr. 434/2023, se utilizează noțiunea de </w:t>
            </w:r>
            <w:r w:rsidRPr="001441D2">
              <w:rPr>
                <w:rFonts w:cs="Arial"/>
                <w:szCs w:val="24"/>
              </w:rPr>
              <w:t>normativ tehnic în construcții</w:t>
            </w:r>
            <w:r>
              <w:rPr>
                <w:rFonts w:cs="Arial"/>
                <w:szCs w:val="24"/>
              </w:rPr>
              <w:t>.</w:t>
            </w:r>
          </w:p>
          <w:p w14:paraId="551239CD" w14:textId="09D2CE96" w:rsidR="00D959B1" w:rsidRPr="000503BC" w:rsidRDefault="001441D2" w:rsidP="001441D2">
            <w:pPr>
              <w:spacing w:after="0"/>
              <w:jc w:val="both"/>
              <w:rPr>
                <w:rFonts w:cs="Arial"/>
                <w:szCs w:val="24"/>
              </w:rPr>
            </w:pPr>
            <w:r>
              <w:rPr>
                <w:rFonts w:cs="Arial"/>
                <w:szCs w:val="24"/>
              </w:rPr>
              <w:t>Respectiv</w:t>
            </w:r>
            <w:r w:rsidR="00751F29" w:rsidRPr="000503BC">
              <w:rPr>
                <w:rFonts w:cs="Arial"/>
                <w:szCs w:val="24"/>
              </w:rPr>
              <w:t xml:space="preserve">, </w:t>
            </w:r>
            <w:r>
              <w:rPr>
                <w:rFonts w:cs="Arial"/>
                <w:szCs w:val="24"/>
              </w:rPr>
              <w:t>se recomandă</w:t>
            </w:r>
            <w:r w:rsidR="004A7E18" w:rsidRPr="000503BC">
              <w:rPr>
                <w:rFonts w:cs="Arial"/>
                <w:szCs w:val="24"/>
              </w:rPr>
              <w:t xml:space="preserve"> redacta</w:t>
            </w:r>
            <w:r>
              <w:rPr>
                <w:rFonts w:cs="Arial"/>
                <w:szCs w:val="24"/>
              </w:rPr>
              <w:t>rea</w:t>
            </w:r>
            <w:r w:rsidR="004A7E18" w:rsidRPr="000503BC">
              <w:rPr>
                <w:rFonts w:cs="Arial"/>
                <w:szCs w:val="24"/>
              </w:rPr>
              <w:t xml:space="preserve"> corespunzăto</w:t>
            </w:r>
            <w:r>
              <w:rPr>
                <w:rFonts w:cs="Arial"/>
                <w:szCs w:val="24"/>
              </w:rPr>
              <w:t>a</w:t>
            </w:r>
            <w:r w:rsidR="004A7E18" w:rsidRPr="000503BC">
              <w:rPr>
                <w:rFonts w:cs="Arial"/>
                <w:szCs w:val="24"/>
              </w:rPr>
              <w:t>r</w:t>
            </w:r>
            <w:r>
              <w:rPr>
                <w:rFonts w:cs="Arial"/>
                <w:szCs w:val="24"/>
              </w:rPr>
              <w:t>e</w:t>
            </w:r>
            <w:r w:rsidR="004A7E18" w:rsidRPr="000503BC">
              <w:rPr>
                <w:rFonts w:cs="Arial"/>
                <w:szCs w:val="24"/>
              </w:rPr>
              <w:t xml:space="preserve"> </w:t>
            </w:r>
            <w:r>
              <w:rPr>
                <w:rFonts w:cs="Arial"/>
                <w:szCs w:val="24"/>
              </w:rPr>
              <w:t xml:space="preserve">a </w:t>
            </w:r>
            <w:r w:rsidR="004A7E18" w:rsidRPr="000503BC">
              <w:rPr>
                <w:rFonts w:cs="Arial"/>
                <w:szCs w:val="24"/>
              </w:rPr>
              <w:t>textul</w:t>
            </w:r>
            <w:r>
              <w:rPr>
                <w:rFonts w:cs="Arial"/>
                <w:szCs w:val="24"/>
              </w:rPr>
              <w:t>ui</w:t>
            </w:r>
            <w:r w:rsidR="004A7E18" w:rsidRPr="000503BC">
              <w:rPr>
                <w:rFonts w:cs="Arial"/>
                <w:szCs w:val="24"/>
              </w:rPr>
              <w:t xml:space="preserve"> proiectului actului normativ.</w:t>
            </w:r>
          </w:p>
        </w:tc>
        <w:tc>
          <w:tcPr>
            <w:tcW w:w="420" w:type="pct"/>
            <w:tcBorders>
              <w:top w:val="single" w:sz="4" w:space="0" w:color="000000"/>
              <w:left w:val="single" w:sz="4" w:space="0" w:color="000000"/>
              <w:bottom w:val="single" w:sz="4" w:space="0" w:color="000000"/>
              <w:right w:val="single" w:sz="4" w:space="0" w:color="000000"/>
            </w:tcBorders>
          </w:tcPr>
          <w:p w14:paraId="374059E5" w14:textId="77777777" w:rsidR="00D959B1" w:rsidRPr="00EF42FC" w:rsidRDefault="00D959B1" w:rsidP="001A22C8">
            <w:pPr>
              <w:spacing w:after="0" w:line="240" w:lineRule="auto"/>
              <w:rPr>
                <w:rFonts w:eastAsia="Calibri" w:cs="Arial"/>
                <w:sz w:val="20"/>
                <w:szCs w:val="20"/>
              </w:rPr>
            </w:pPr>
          </w:p>
        </w:tc>
      </w:tr>
      <w:tr w:rsidR="001A22C8" w:rsidRPr="00EF42FC" w14:paraId="06A642CC" w14:textId="77777777" w:rsidTr="00751C97">
        <w:tc>
          <w:tcPr>
            <w:tcW w:w="261" w:type="pct"/>
            <w:tcBorders>
              <w:top w:val="single" w:sz="4" w:space="0" w:color="000000"/>
              <w:left w:val="single" w:sz="4" w:space="0" w:color="000000"/>
              <w:bottom w:val="single" w:sz="4" w:space="0" w:color="000000"/>
              <w:right w:val="single" w:sz="4" w:space="0" w:color="000000"/>
            </w:tcBorders>
            <w:hideMark/>
          </w:tcPr>
          <w:p w14:paraId="6C36BCA3" w14:textId="5C04E4C0" w:rsidR="005F4F1E" w:rsidRPr="00EF42FC" w:rsidRDefault="005F4F1E" w:rsidP="00751C97">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hideMark/>
          </w:tcPr>
          <w:p w14:paraId="1BEC5376" w14:textId="72F50EE0" w:rsidR="005F4F1E" w:rsidRDefault="002A6612" w:rsidP="00751C97">
            <w:pPr>
              <w:spacing w:after="0" w:line="240" w:lineRule="auto"/>
              <w:ind w:left="-61" w:right="-38" w:hanging="14"/>
              <w:jc w:val="center"/>
              <w:rPr>
                <w:rFonts w:cs="Arial"/>
              </w:rPr>
            </w:pPr>
            <w:r w:rsidRPr="00EF42FC">
              <w:rPr>
                <w:rFonts w:cs="Arial"/>
              </w:rPr>
              <w:t>Pagina II</w:t>
            </w:r>
          </w:p>
          <w:p w14:paraId="0AEFB453" w14:textId="0D78EBA7" w:rsidR="004A7E18" w:rsidRPr="004A7E18" w:rsidRDefault="004A7E18" w:rsidP="00751C97">
            <w:pPr>
              <w:spacing w:after="0" w:line="240" w:lineRule="auto"/>
              <w:ind w:left="-61" w:right="-38" w:hanging="14"/>
              <w:jc w:val="center"/>
              <w:rPr>
                <w:rFonts w:cs="Arial"/>
              </w:rPr>
            </w:pPr>
          </w:p>
        </w:tc>
        <w:tc>
          <w:tcPr>
            <w:tcW w:w="410" w:type="pct"/>
            <w:tcBorders>
              <w:top w:val="single" w:sz="4" w:space="0" w:color="000000"/>
              <w:left w:val="single" w:sz="4" w:space="0" w:color="000000"/>
              <w:bottom w:val="single" w:sz="4" w:space="0" w:color="000000"/>
              <w:right w:val="single" w:sz="4" w:space="0" w:color="000000"/>
            </w:tcBorders>
          </w:tcPr>
          <w:p w14:paraId="28E5986A" w14:textId="39C55F4D" w:rsidR="005F4F1E" w:rsidRPr="00EF42FC" w:rsidRDefault="005F4F1E" w:rsidP="001A22C8">
            <w:pPr>
              <w:spacing w:after="0" w:line="240" w:lineRule="auto"/>
              <w:ind w:left="-80" w:right="-94" w:hanging="14"/>
              <w:rPr>
                <w:rFonts w:eastAsia="Calibri" w:cs="Arial"/>
                <w:sz w:val="20"/>
                <w:szCs w:val="20"/>
              </w:rPr>
            </w:pPr>
            <w:r w:rsidRPr="00EF42FC">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0B14E032" w14:textId="382563F8" w:rsidR="005F4F1E" w:rsidRPr="00EF42FC" w:rsidRDefault="007B51F7" w:rsidP="001A22C8">
            <w:pPr>
              <w:spacing w:after="0"/>
              <w:rPr>
                <w:rFonts w:eastAsia="Calibri" w:cs="Arial"/>
                <w:sz w:val="20"/>
                <w:szCs w:val="20"/>
              </w:rPr>
            </w:pPr>
            <w:r w:rsidRPr="00EF42FC">
              <w:rPr>
                <w:rFonts w:cs="Arial"/>
              </w:rPr>
              <w:t xml:space="preserve">Denumirea textuală a actului normativ a se completa cu varianta în limba engleză </w:t>
            </w:r>
            <w:r w:rsidRPr="00EF42FC">
              <w:rPr>
                <w:rFonts w:cs="Arial"/>
                <w:b/>
                <w:bCs/>
              </w:rPr>
              <w:t>„</w:t>
            </w:r>
            <w:proofErr w:type="spellStart"/>
            <w:r w:rsidR="001441D2" w:rsidRPr="001441D2">
              <w:rPr>
                <w:rFonts w:cs="Arial"/>
                <w:b/>
                <w:bCs/>
              </w:rPr>
              <w:t>Heating</w:t>
            </w:r>
            <w:proofErr w:type="spellEnd"/>
            <w:r w:rsidR="001441D2" w:rsidRPr="001441D2">
              <w:rPr>
                <w:rFonts w:cs="Arial"/>
                <w:b/>
                <w:bCs/>
              </w:rPr>
              <w:t xml:space="preserve">, </w:t>
            </w:r>
            <w:proofErr w:type="spellStart"/>
            <w:r w:rsidR="001441D2" w:rsidRPr="001441D2">
              <w:rPr>
                <w:rFonts w:cs="Arial"/>
                <w:b/>
                <w:bCs/>
              </w:rPr>
              <w:t>ventilation</w:t>
            </w:r>
            <w:proofErr w:type="spellEnd"/>
            <w:r w:rsidR="001441D2" w:rsidRPr="001441D2">
              <w:rPr>
                <w:rFonts w:cs="Arial"/>
                <w:b/>
                <w:bCs/>
              </w:rPr>
              <w:t xml:space="preserve"> </w:t>
            </w:r>
            <w:proofErr w:type="spellStart"/>
            <w:r w:rsidR="001441D2" w:rsidRPr="001441D2">
              <w:rPr>
                <w:rFonts w:cs="Arial"/>
                <w:b/>
                <w:bCs/>
              </w:rPr>
              <w:t>and</w:t>
            </w:r>
            <w:proofErr w:type="spellEnd"/>
            <w:r w:rsidR="001441D2" w:rsidRPr="001441D2">
              <w:rPr>
                <w:rFonts w:cs="Arial"/>
                <w:b/>
                <w:bCs/>
              </w:rPr>
              <w:t xml:space="preserve"> </w:t>
            </w:r>
            <w:proofErr w:type="spellStart"/>
            <w:r w:rsidR="001441D2" w:rsidRPr="001441D2">
              <w:rPr>
                <w:rFonts w:cs="Arial"/>
                <w:b/>
                <w:bCs/>
              </w:rPr>
              <w:t>air</w:t>
            </w:r>
            <w:proofErr w:type="spellEnd"/>
            <w:r w:rsidR="001441D2" w:rsidRPr="001441D2">
              <w:rPr>
                <w:rFonts w:cs="Arial"/>
                <w:b/>
                <w:bCs/>
              </w:rPr>
              <w:t xml:space="preserve"> </w:t>
            </w:r>
            <w:proofErr w:type="spellStart"/>
            <w:r w:rsidR="001441D2" w:rsidRPr="001441D2">
              <w:rPr>
                <w:rFonts w:cs="Arial"/>
                <w:b/>
                <w:bCs/>
              </w:rPr>
              <w:t>conditioning</w:t>
            </w:r>
            <w:proofErr w:type="spellEnd"/>
            <w:r w:rsidR="001441D2" w:rsidRPr="001441D2">
              <w:rPr>
                <w:rFonts w:cs="Arial"/>
                <w:b/>
                <w:bCs/>
              </w:rPr>
              <w:t xml:space="preserve"> in </w:t>
            </w:r>
            <w:proofErr w:type="spellStart"/>
            <w:r w:rsidR="001441D2" w:rsidRPr="001441D2">
              <w:rPr>
                <w:rFonts w:cs="Arial"/>
                <w:b/>
                <w:bCs/>
              </w:rPr>
              <w:t>residential</w:t>
            </w:r>
            <w:proofErr w:type="spellEnd"/>
            <w:r w:rsidR="001441D2" w:rsidRPr="001441D2">
              <w:rPr>
                <w:rFonts w:cs="Arial"/>
                <w:b/>
                <w:bCs/>
              </w:rPr>
              <w:t xml:space="preserve"> </w:t>
            </w:r>
            <w:proofErr w:type="spellStart"/>
            <w:r w:rsidR="001441D2" w:rsidRPr="001441D2">
              <w:rPr>
                <w:rFonts w:cs="Arial"/>
                <w:b/>
                <w:bCs/>
              </w:rPr>
              <w:t>buildings</w:t>
            </w:r>
            <w:proofErr w:type="spellEnd"/>
            <w:r w:rsidR="001441D2" w:rsidRPr="001441D2">
              <w:rPr>
                <w:rFonts w:cs="Arial"/>
                <w:b/>
                <w:bCs/>
              </w:rPr>
              <w:t xml:space="preserve">. Design </w:t>
            </w:r>
            <w:proofErr w:type="spellStart"/>
            <w:r w:rsidR="001441D2" w:rsidRPr="001441D2">
              <w:rPr>
                <w:rFonts w:cs="Arial"/>
                <w:b/>
                <w:bCs/>
              </w:rPr>
              <w:t>rules</w:t>
            </w:r>
            <w:proofErr w:type="spellEnd"/>
            <w:r w:rsidRPr="00EF42FC">
              <w:rPr>
                <w:rFonts w:cs="Arial"/>
                <w:b/>
                <w:bCs/>
              </w:rPr>
              <w:t>”</w:t>
            </w:r>
            <w:r w:rsidRPr="00EF42FC">
              <w:rPr>
                <w:rFonts w:cs="Arial"/>
              </w:rPr>
              <w:t>.</w:t>
            </w:r>
          </w:p>
        </w:tc>
        <w:tc>
          <w:tcPr>
            <w:tcW w:w="2035" w:type="pct"/>
            <w:tcBorders>
              <w:top w:val="single" w:sz="4" w:space="0" w:color="000000"/>
              <w:left w:val="single" w:sz="4" w:space="0" w:color="000000"/>
              <w:bottom w:val="single" w:sz="4" w:space="0" w:color="000000"/>
              <w:right w:val="single" w:sz="4" w:space="0" w:color="000000"/>
            </w:tcBorders>
          </w:tcPr>
          <w:p w14:paraId="3AE98ECB" w14:textId="54FEAA8E" w:rsidR="005F4F1E" w:rsidRPr="00EF42FC" w:rsidRDefault="007B51F7" w:rsidP="001A22C8">
            <w:pPr>
              <w:shd w:val="clear" w:color="auto" w:fill="FFFFFF"/>
              <w:contextualSpacing/>
              <w:jc w:val="both"/>
              <w:rPr>
                <w:rFonts w:eastAsia="Calibri" w:cs="Arial"/>
                <w:sz w:val="20"/>
                <w:szCs w:val="20"/>
              </w:rPr>
            </w:pPr>
            <w:r w:rsidRPr="00EF42FC">
              <w:rPr>
                <w:rFonts w:cs="Arial"/>
              </w:rPr>
              <w:t>Având în vedere dezideratul de integrare europeană a Republicii Moldova, precum și favorizarea climatului investițional oportun atragerii partenerilor externi de dezvoltare din spațiul comunității UE, este oportună dublarea corespunzătoare a denumirii inclusiv în limba engleză, pentru o mai bună familiarizare cu textul normativului în construcții prin identificarea simplă a acestuia.</w:t>
            </w:r>
          </w:p>
        </w:tc>
        <w:tc>
          <w:tcPr>
            <w:tcW w:w="420" w:type="pct"/>
            <w:tcBorders>
              <w:top w:val="single" w:sz="4" w:space="0" w:color="000000"/>
              <w:left w:val="single" w:sz="4" w:space="0" w:color="000000"/>
              <w:bottom w:val="single" w:sz="4" w:space="0" w:color="000000"/>
              <w:right w:val="single" w:sz="4" w:space="0" w:color="000000"/>
            </w:tcBorders>
          </w:tcPr>
          <w:p w14:paraId="2D17D72A" w14:textId="77777777" w:rsidR="005F4F1E" w:rsidRPr="00EF42FC" w:rsidRDefault="005F4F1E" w:rsidP="001A22C8">
            <w:pPr>
              <w:spacing w:after="0" w:line="240" w:lineRule="auto"/>
              <w:rPr>
                <w:rFonts w:eastAsia="Calibri" w:cs="Arial"/>
                <w:sz w:val="20"/>
                <w:szCs w:val="20"/>
              </w:rPr>
            </w:pPr>
          </w:p>
        </w:tc>
      </w:tr>
      <w:tr w:rsidR="001A22C8" w:rsidRPr="00EF42FC" w14:paraId="78BE103A" w14:textId="77777777" w:rsidTr="00751C97">
        <w:tc>
          <w:tcPr>
            <w:tcW w:w="261" w:type="pct"/>
            <w:tcBorders>
              <w:top w:val="single" w:sz="4" w:space="0" w:color="000000"/>
              <w:left w:val="single" w:sz="4" w:space="0" w:color="000000"/>
              <w:bottom w:val="single" w:sz="4" w:space="0" w:color="000000"/>
              <w:right w:val="single" w:sz="4" w:space="0" w:color="000000"/>
            </w:tcBorders>
            <w:hideMark/>
          </w:tcPr>
          <w:p w14:paraId="1F6F7CDF" w14:textId="21433FCB" w:rsidR="005F4F1E" w:rsidRPr="00EF42FC" w:rsidRDefault="005F4F1E" w:rsidP="00751C97">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hideMark/>
          </w:tcPr>
          <w:p w14:paraId="13163A00" w14:textId="7203859F" w:rsidR="005F4F1E" w:rsidRPr="00EF42FC" w:rsidRDefault="000A243A" w:rsidP="00751C97">
            <w:pPr>
              <w:shd w:val="clear" w:color="auto" w:fill="FFFFFF"/>
              <w:spacing w:after="0" w:line="240" w:lineRule="auto"/>
              <w:ind w:left="-61" w:right="-38" w:hanging="14"/>
              <w:jc w:val="center"/>
              <w:rPr>
                <w:rFonts w:eastAsia="Calibri" w:cs="Arial"/>
                <w:sz w:val="20"/>
                <w:szCs w:val="20"/>
              </w:rPr>
            </w:pPr>
            <w:r w:rsidRPr="00EF42FC">
              <w:rPr>
                <w:rFonts w:cs="Arial"/>
              </w:rPr>
              <w:t>Pagina II</w:t>
            </w:r>
          </w:p>
        </w:tc>
        <w:tc>
          <w:tcPr>
            <w:tcW w:w="410" w:type="pct"/>
            <w:tcBorders>
              <w:top w:val="single" w:sz="4" w:space="0" w:color="000000"/>
              <w:left w:val="single" w:sz="4" w:space="0" w:color="000000"/>
              <w:bottom w:val="single" w:sz="4" w:space="0" w:color="000000"/>
              <w:right w:val="single" w:sz="4" w:space="0" w:color="000000"/>
            </w:tcBorders>
          </w:tcPr>
          <w:p w14:paraId="56BBD44F" w14:textId="6DD3EEA4" w:rsidR="005F4F1E" w:rsidRPr="001A22C8" w:rsidRDefault="005F4F1E" w:rsidP="001A22C8">
            <w:pPr>
              <w:spacing w:after="0" w:line="240" w:lineRule="auto"/>
              <w:ind w:left="-80" w:right="-94" w:hanging="14"/>
              <w:rPr>
                <w:rFonts w:eastAsia="Calibri" w:cs="Arial"/>
                <w:szCs w:val="24"/>
              </w:rPr>
            </w:pPr>
            <w:r w:rsidRPr="00EF42FC">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7ECCD162" w14:textId="051567D3" w:rsidR="005F4F1E" w:rsidRPr="00EF42FC" w:rsidRDefault="000A243A" w:rsidP="001A22C8">
            <w:pPr>
              <w:shd w:val="clear" w:color="auto" w:fill="FFFFFF"/>
              <w:jc w:val="both"/>
              <w:rPr>
                <w:rFonts w:eastAsia="Calibri" w:cs="Arial"/>
                <w:sz w:val="20"/>
                <w:szCs w:val="20"/>
              </w:rPr>
            </w:pPr>
            <w:r w:rsidRPr="00EF42FC">
              <w:rPr>
                <w:rFonts w:cs="Arial"/>
              </w:rPr>
              <w:t xml:space="preserve">A se substitui cuvântul </w:t>
            </w:r>
            <w:r w:rsidRPr="00EF42FC">
              <w:rPr>
                <w:rFonts w:cs="Arial"/>
                <w:i/>
                <w:iCs/>
              </w:rPr>
              <w:t xml:space="preserve">„Preambul” cu expresia </w:t>
            </w:r>
            <w:r w:rsidRPr="00EF42FC">
              <w:rPr>
                <w:rFonts w:cs="Arial"/>
                <w:b/>
                <w:bCs/>
                <w:i/>
                <w:iCs/>
              </w:rPr>
              <w:t xml:space="preserve">„Informații cu privire la </w:t>
            </w:r>
            <w:r w:rsidR="001441D2">
              <w:rPr>
                <w:rFonts w:cs="Arial"/>
                <w:b/>
                <w:bCs/>
                <w:i/>
                <w:iCs/>
              </w:rPr>
              <w:t>n</w:t>
            </w:r>
            <w:r w:rsidR="001441D2" w:rsidRPr="001441D2">
              <w:rPr>
                <w:rFonts w:cs="Arial"/>
                <w:b/>
                <w:bCs/>
                <w:i/>
                <w:iCs/>
              </w:rPr>
              <w:t>ormativ</w:t>
            </w:r>
            <w:r w:rsidR="001441D2">
              <w:rPr>
                <w:rFonts w:cs="Arial"/>
                <w:b/>
                <w:bCs/>
                <w:i/>
                <w:iCs/>
              </w:rPr>
              <w:t>ul</w:t>
            </w:r>
            <w:r w:rsidR="001441D2" w:rsidRPr="001441D2">
              <w:rPr>
                <w:rFonts w:cs="Arial"/>
                <w:b/>
                <w:bCs/>
                <w:i/>
                <w:iCs/>
              </w:rPr>
              <w:t xml:space="preserve"> tehnic</w:t>
            </w:r>
            <w:r w:rsidR="00B62751">
              <w:rPr>
                <w:rFonts w:cs="Arial"/>
                <w:b/>
                <w:bCs/>
                <w:i/>
                <w:iCs/>
              </w:rPr>
              <w:t xml:space="preserve"> </w:t>
            </w:r>
            <w:r w:rsidRPr="00EF42FC">
              <w:rPr>
                <w:rFonts w:cs="Arial"/>
                <w:b/>
                <w:bCs/>
                <w:i/>
                <w:iCs/>
              </w:rPr>
              <w:t>în construcții”</w:t>
            </w:r>
            <w:r w:rsidRPr="00EF42FC">
              <w:rPr>
                <w:rFonts w:cs="Arial"/>
                <w:b/>
                <w:bCs/>
              </w:rPr>
              <w:t xml:space="preserve">. </w:t>
            </w:r>
          </w:p>
        </w:tc>
        <w:tc>
          <w:tcPr>
            <w:tcW w:w="2035" w:type="pct"/>
            <w:tcBorders>
              <w:top w:val="single" w:sz="4" w:space="0" w:color="000000"/>
              <w:left w:val="single" w:sz="4" w:space="0" w:color="000000"/>
              <w:bottom w:val="single" w:sz="4" w:space="0" w:color="000000"/>
              <w:right w:val="single" w:sz="4" w:space="0" w:color="000000"/>
            </w:tcBorders>
          </w:tcPr>
          <w:p w14:paraId="2C875292" w14:textId="77777777" w:rsidR="000A243A" w:rsidRPr="00EF42FC" w:rsidRDefault="000A243A" w:rsidP="001A22C8">
            <w:pPr>
              <w:shd w:val="clear" w:color="auto" w:fill="FFFFFF"/>
              <w:contextualSpacing/>
              <w:jc w:val="both"/>
              <w:rPr>
                <w:rFonts w:cs="Arial"/>
              </w:rPr>
            </w:pPr>
            <w:r w:rsidRPr="00EF42FC">
              <w:rPr>
                <w:rFonts w:cs="Arial"/>
              </w:rPr>
              <w:t xml:space="preserve">Conform prevederilor art. 43 alin. (1) din Legea nr. 100 din 22.12.2017 cu privire la actele normative, în preambulul actului normativ </w:t>
            </w:r>
            <w:proofErr w:type="spellStart"/>
            <w:r w:rsidRPr="00EF42FC">
              <w:rPr>
                <w:rFonts w:cs="Arial"/>
              </w:rPr>
              <w:t>sînt</w:t>
            </w:r>
            <w:proofErr w:type="spellEnd"/>
            <w:r w:rsidRPr="00EF42FC">
              <w:rPr>
                <w:rFonts w:cs="Arial"/>
              </w:rPr>
              <w:t xml:space="preserve"> prevăzute scopul </w:t>
            </w:r>
            <w:proofErr w:type="spellStart"/>
            <w:r w:rsidRPr="00EF42FC">
              <w:rPr>
                <w:rFonts w:cs="Arial"/>
              </w:rPr>
              <w:t>şi</w:t>
            </w:r>
            <w:proofErr w:type="spellEnd"/>
            <w:r w:rsidRPr="00EF42FC">
              <w:rPr>
                <w:rFonts w:cs="Arial"/>
              </w:rPr>
              <w:t xml:space="preserve"> </w:t>
            </w:r>
            <w:proofErr w:type="spellStart"/>
            <w:r w:rsidRPr="00EF42FC">
              <w:rPr>
                <w:rFonts w:cs="Arial"/>
              </w:rPr>
              <w:t>raţiunea</w:t>
            </w:r>
            <w:proofErr w:type="spellEnd"/>
            <w:r w:rsidRPr="00EF42FC">
              <w:rPr>
                <w:rFonts w:cs="Arial"/>
              </w:rPr>
              <w:t xml:space="preserve"> adoptării, aprobării sau emiterii actului normativ, </w:t>
            </w:r>
            <w:proofErr w:type="spellStart"/>
            <w:r w:rsidRPr="00EF42FC">
              <w:rPr>
                <w:rFonts w:cs="Arial"/>
              </w:rPr>
              <w:t>motivaţia</w:t>
            </w:r>
            <w:proofErr w:type="spellEnd"/>
            <w:r w:rsidRPr="00EF42FC">
              <w:rPr>
                <w:rFonts w:cs="Arial"/>
              </w:rPr>
              <w:t xml:space="preserve"> social-politică, economică sau de </w:t>
            </w:r>
            <w:r w:rsidRPr="00EF42FC">
              <w:rPr>
                <w:rFonts w:cs="Arial"/>
              </w:rPr>
              <w:lastRenderedPageBreak/>
              <w:t xml:space="preserve">altă natură, precum </w:t>
            </w:r>
            <w:proofErr w:type="spellStart"/>
            <w:r w:rsidRPr="00EF42FC">
              <w:rPr>
                <w:rFonts w:cs="Arial"/>
              </w:rPr>
              <w:t>şi</w:t>
            </w:r>
            <w:proofErr w:type="spellEnd"/>
            <w:r w:rsidRPr="00EF42FC">
              <w:rPr>
                <w:rFonts w:cs="Arial"/>
              </w:rPr>
              <w:t xml:space="preserve"> </w:t>
            </w:r>
            <w:proofErr w:type="spellStart"/>
            <w:r w:rsidRPr="00EF42FC">
              <w:rPr>
                <w:rFonts w:cs="Arial"/>
              </w:rPr>
              <w:t>direcţiile</w:t>
            </w:r>
            <w:proofErr w:type="spellEnd"/>
            <w:r w:rsidRPr="00EF42FC">
              <w:rPr>
                <w:rFonts w:cs="Arial"/>
              </w:rPr>
              <w:t xml:space="preserve"> principale care </w:t>
            </w:r>
            <w:proofErr w:type="spellStart"/>
            <w:r w:rsidRPr="00EF42FC">
              <w:rPr>
                <w:rFonts w:cs="Arial"/>
              </w:rPr>
              <w:t>sînt</w:t>
            </w:r>
            <w:proofErr w:type="spellEnd"/>
            <w:r w:rsidRPr="00EF42FC">
              <w:rPr>
                <w:rFonts w:cs="Arial"/>
              </w:rPr>
              <w:t xml:space="preserve"> reflectate în actul normativ. Subsecvent, potrivit alin. (2) din același articol, preambulul precedă clauza de adoptare </w:t>
            </w:r>
            <w:proofErr w:type="spellStart"/>
            <w:r w:rsidRPr="00EF42FC">
              <w:rPr>
                <w:rFonts w:cs="Arial"/>
              </w:rPr>
              <w:t>şi</w:t>
            </w:r>
            <w:proofErr w:type="spellEnd"/>
            <w:r w:rsidRPr="00EF42FC">
              <w:rPr>
                <w:rFonts w:cs="Arial"/>
              </w:rPr>
              <w:t xml:space="preserve"> nu </w:t>
            </w:r>
            <w:proofErr w:type="spellStart"/>
            <w:r w:rsidRPr="00EF42FC">
              <w:rPr>
                <w:rFonts w:cs="Arial"/>
              </w:rPr>
              <w:t>conţine</w:t>
            </w:r>
            <w:proofErr w:type="spellEnd"/>
            <w:r w:rsidRPr="00EF42FC">
              <w:rPr>
                <w:rFonts w:cs="Arial"/>
              </w:rPr>
              <w:t xml:space="preserve"> norme juridice </w:t>
            </w:r>
            <w:proofErr w:type="spellStart"/>
            <w:r w:rsidRPr="00EF42FC">
              <w:rPr>
                <w:rFonts w:cs="Arial"/>
              </w:rPr>
              <w:t>şi</w:t>
            </w:r>
            <w:proofErr w:type="spellEnd"/>
            <w:r w:rsidRPr="00EF42FC">
              <w:rPr>
                <w:rFonts w:cs="Arial"/>
              </w:rPr>
              <w:t xml:space="preserve"> reguli de interpretare. De regulă, acesta </w:t>
            </w:r>
            <w:proofErr w:type="spellStart"/>
            <w:r w:rsidRPr="00EF42FC">
              <w:rPr>
                <w:rFonts w:cs="Arial"/>
              </w:rPr>
              <w:t>însoţeşte</w:t>
            </w:r>
            <w:proofErr w:type="spellEnd"/>
            <w:r w:rsidRPr="00EF42FC">
              <w:rPr>
                <w:rFonts w:cs="Arial"/>
              </w:rPr>
              <w:t xml:space="preserve"> un act normativ de </w:t>
            </w:r>
            <w:proofErr w:type="spellStart"/>
            <w:r w:rsidRPr="00EF42FC">
              <w:rPr>
                <w:rFonts w:cs="Arial"/>
              </w:rPr>
              <w:t>importanţă</w:t>
            </w:r>
            <w:proofErr w:type="spellEnd"/>
            <w:r w:rsidRPr="00EF42FC">
              <w:rPr>
                <w:rFonts w:cs="Arial"/>
              </w:rPr>
              <w:t xml:space="preserve"> majoră pentru societate.</w:t>
            </w:r>
          </w:p>
          <w:p w14:paraId="12899204" w14:textId="5DB4222C" w:rsidR="005F4F1E" w:rsidRPr="00EF42FC" w:rsidRDefault="000A243A" w:rsidP="001A22C8">
            <w:pPr>
              <w:shd w:val="clear" w:color="auto" w:fill="FFFFFF"/>
              <w:contextualSpacing/>
              <w:jc w:val="both"/>
              <w:rPr>
                <w:rFonts w:eastAsia="Calibri" w:cs="Arial"/>
                <w:sz w:val="20"/>
                <w:szCs w:val="20"/>
              </w:rPr>
            </w:pPr>
            <w:r w:rsidRPr="00EF42FC">
              <w:rPr>
                <w:rFonts w:cs="Arial"/>
              </w:rPr>
              <w:t xml:space="preserve">Drept consecință, se reclamă substituirea cuvântului </w:t>
            </w:r>
            <w:r w:rsidRPr="00EF42FC">
              <w:rPr>
                <w:rFonts w:cs="Arial"/>
                <w:i/>
                <w:iCs/>
              </w:rPr>
              <w:t xml:space="preserve">„Preambul” cu expresia </w:t>
            </w:r>
            <w:r w:rsidR="002A6612" w:rsidRPr="002A6612">
              <w:rPr>
                <w:rFonts w:cs="Arial"/>
                <w:i/>
                <w:iCs/>
              </w:rPr>
              <w:t xml:space="preserve">Informații cu privire la </w:t>
            </w:r>
            <w:r w:rsidR="001441D2">
              <w:rPr>
                <w:rFonts w:cs="Arial"/>
                <w:i/>
                <w:iCs/>
              </w:rPr>
              <w:t>n</w:t>
            </w:r>
            <w:r w:rsidR="001441D2" w:rsidRPr="001441D2">
              <w:rPr>
                <w:rFonts w:cs="Arial"/>
                <w:i/>
                <w:iCs/>
              </w:rPr>
              <w:t>ormativ</w:t>
            </w:r>
            <w:r w:rsidR="001441D2">
              <w:rPr>
                <w:rFonts w:cs="Arial"/>
                <w:i/>
                <w:iCs/>
              </w:rPr>
              <w:t>ul</w:t>
            </w:r>
            <w:r w:rsidR="001441D2" w:rsidRPr="001441D2">
              <w:rPr>
                <w:rFonts w:cs="Arial"/>
                <w:i/>
                <w:iCs/>
              </w:rPr>
              <w:t xml:space="preserve"> tehnic</w:t>
            </w:r>
            <w:r w:rsidR="002A6612" w:rsidRPr="002A6612">
              <w:rPr>
                <w:rFonts w:cs="Arial"/>
                <w:i/>
                <w:iCs/>
              </w:rPr>
              <w:t xml:space="preserve"> în construcții</w:t>
            </w:r>
            <w:r w:rsidRPr="00EF42FC">
              <w:rPr>
                <w:rFonts w:cs="Arial"/>
                <w:i/>
                <w:iCs/>
              </w:rPr>
              <w:t xml:space="preserve">”, </w:t>
            </w:r>
            <w:r w:rsidRPr="00EF42FC">
              <w:rPr>
                <w:rFonts w:cs="Arial"/>
              </w:rPr>
              <w:t>or acesta nu se încadrează în categoria celor menționate supra.</w:t>
            </w:r>
          </w:p>
        </w:tc>
        <w:tc>
          <w:tcPr>
            <w:tcW w:w="420" w:type="pct"/>
            <w:tcBorders>
              <w:top w:val="single" w:sz="4" w:space="0" w:color="000000"/>
              <w:left w:val="single" w:sz="4" w:space="0" w:color="000000"/>
              <w:bottom w:val="single" w:sz="4" w:space="0" w:color="000000"/>
              <w:right w:val="single" w:sz="4" w:space="0" w:color="000000"/>
            </w:tcBorders>
          </w:tcPr>
          <w:p w14:paraId="42B36F35" w14:textId="77777777" w:rsidR="005F4F1E" w:rsidRPr="00EF42FC" w:rsidRDefault="005F4F1E" w:rsidP="001A22C8">
            <w:pPr>
              <w:spacing w:after="0" w:line="240" w:lineRule="auto"/>
              <w:rPr>
                <w:rFonts w:eastAsia="Calibri" w:cs="Arial"/>
                <w:sz w:val="20"/>
                <w:szCs w:val="20"/>
              </w:rPr>
            </w:pPr>
          </w:p>
        </w:tc>
      </w:tr>
      <w:tr w:rsidR="001A22C8" w:rsidRPr="00EF42FC" w14:paraId="345139F3" w14:textId="77777777" w:rsidTr="00751C97">
        <w:tc>
          <w:tcPr>
            <w:tcW w:w="261" w:type="pct"/>
            <w:tcBorders>
              <w:top w:val="single" w:sz="4" w:space="0" w:color="000000"/>
              <w:left w:val="single" w:sz="4" w:space="0" w:color="000000"/>
              <w:bottom w:val="single" w:sz="4" w:space="0" w:color="000000"/>
              <w:right w:val="single" w:sz="4" w:space="0" w:color="000000"/>
            </w:tcBorders>
          </w:tcPr>
          <w:p w14:paraId="1553CFE2" w14:textId="77777777" w:rsidR="00705AC5" w:rsidRPr="00EF42FC" w:rsidRDefault="00705AC5" w:rsidP="00751C97">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tcPr>
          <w:p w14:paraId="4B5AD2F7" w14:textId="7271AD8A" w:rsidR="00705AC5" w:rsidRPr="00EF33E8" w:rsidRDefault="00705AC5" w:rsidP="00751C97">
            <w:pPr>
              <w:widowControl w:val="0"/>
              <w:shd w:val="clear" w:color="auto" w:fill="FFFFFF"/>
              <w:autoSpaceDE w:val="0"/>
              <w:autoSpaceDN w:val="0"/>
              <w:adjustRightInd w:val="0"/>
              <w:spacing w:after="0" w:line="240" w:lineRule="auto"/>
              <w:ind w:left="-61" w:right="-38" w:hanging="14"/>
              <w:jc w:val="center"/>
              <w:rPr>
                <w:rFonts w:cs="Arial"/>
                <w:szCs w:val="24"/>
              </w:rPr>
            </w:pPr>
            <w:r w:rsidRPr="00EF33E8">
              <w:rPr>
                <w:rFonts w:cs="Arial"/>
                <w:szCs w:val="24"/>
              </w:rPr>
              <w:t>Pagina III</w:t>
            </w:r>
            <w:r w:rsidR="001441D2">
              <w:rPr>
                <w:rFonts w:cs="Arial"/>
                <w:szCs w:val="24"/>
              </w:rPr>
              <w:t>-IV</w:t>
            </w:r>
          </w:p>
        </w:tc>
        <w:tc>
          <w:tcPr>
            <w:tcW w:w="410" w:type="pct"/>
            <w:tcBorders>
              <w:top w:val="single" w:sz="4" w:space="0" w:color="000000"/>
              <w:left w:val="single" w:sz="4" w:space="0" w:color="000000"/>
              <w:bottom w:val="single" w:sz="4" w:space="0" w:color="000000"/>
              <w:right w:val="single" w:sz="4" w:space="0" w:color="000000"/>
            </w:tcBorders>
          </w:tcPr>
          <w:p w14:paraId="765C1A9B" w14:textId="424AE411" w:rsidR="00705AC5" w:rsidRPr="00EF42FC" w:rsidRDefault="00705AC5" w:rsidP="001A22C8">
            <w:pPr>
              <w:spacing w:after="0" w:line="240" w:lineRule="auto"/>
              <w:ind w:left="-80" w:right="-94" w:hanging="14"/>
              <w:rPr>
                <w:rFonts w:eastAsia="Calibri" w:cs="Arial"/>
                <w:szCs w:val="24"/>
              </w:rPr>
            </w:pPr>
            <w:r w:rsidRPr="00EF42FC">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2D0C8479" w14:textId="70CE0EF0" w:rsidR="00705AC5" w:rsidRDefault="00705AC5" w:rsidP="00B62751">
            <w:pPr>
              <w:spacing w:after="0"/>
              <w:jc w:val="both"/>
              <w:rPr>
                <w:rFonts w:cs="Arial"/>
              </w:rPr>
            </w:pPr>
            <w:r w:rsidRPr="00EF42FC">
              <w:rPr>
                <w:rFonts w:cs="Arial"/>
              </w:rPr>
              <w:t>A se expune în redacție corespunzătoare cuprinsul proiectului, prin regruparea elementelor în capitole și secțiuni.</w:t>
            </w:r>
          </w:p>
          <w:p w14:paraId="46759416" w14:textId="6EC4B6B3" w:rsidR="00705AC5" w:rsidRPr="00EF42FC" w:rsidRDefault="00705AC5" w:rsidP="00B62751">
            <w:pPr>
              <w:spacing w:after="0"/>
              <w:jc w:val="both"/>
              <w:rPr>
                <w:rFonts w:cs="Arial"/>
              </w:rPr>
            </w:pPr>
            <w:r>
              <w:rPr>
                <w:rFonts w:cs="Arial"/>
              </w:rPr>
              <w:t>A se renumerota capitolele cu numere romane.</w:t>
            </w:r>
          </w:p>
        </w:tc>
        <w:tc>
          <w:tcPr>
            <w:tcW w:w="2035" w:type="pct"/>
            <w:tcBorders>
              <w:top w:val="single" w:sz="4" w:space="0" w:color="000000"/>
              <w:left w:val="single" w:sz="4" w:space="0" w:color="000000"/>
              <w:bottom w:val="single" w:sz="4" w:space="0" w:color="000000"/>
              <w:right w:val="single" w:sz="4" w:space="0" w:color="000000"/>
            </w:tcBorders>
          </w:tcPr>
          <w:p w14:paraId="549DD4D0" w14:textId="77777777" w:rsidR="00705AC5" w:rsidRPr="000E2D26" w:rsidRDefault="00705AC5" w:rsidP="001A22C8">
            <w:pPr>
              <w:contextualSpacing/>
              <w:jc w:val="both"/>
              <w:rPr>
                <w:rFonts w:cs="Arial"/>
                <w:i/>
                <w:iCs/>
              </w:rPr>
            </w:pPr>
            <w:r w:rsidRPr="00EF42FC">
              <w:rPr>
                <w:rFonts w:cs="Arial"/>
              </w:rPr>
              <w:t xml:space="preserve">Conform prevederilor art. 53 din Legea nr. 100 din 22.12.2017 cu privire la actele normative, </w:t>
            </w:r>
            <w:r w:rsidRPr="000E2D26">
              <w:rPr>
                <w:rFonts w:cs="Arial"/>
                <w:i/>
                <w:iCs/>
              </w:rPr>
              <w:t xml:space="preserve">(1) În </w:t>
            </w:r>
            <w:proofErr w:type="spellStart"/>
            <w:r w:rsidRPr="000E2D26">
              <w:rPr>
                <w:rFonts w:cs="Arial"/>
                <w:i/>
                <w:iCs/>
              </w:rPr>
              <w:t>funcţie</w:t>
            </w:r>
            <w:proofErr w:type="spellEnd"/>
            <w:r w:rsidRPr="000E2D26">
              <w:rPr>
                <w:rFonts w:cs="Arial"/>
                <w:i/>
                <w:iCs/>
              </w:rPr>
              <w:t xml:space="preserve"> de complexitatea actului normativ, elementele structurale ale actului normativ pot fi grupate după cum urmează: </w:t>
            </w:r>
          </w:p>
          <w:p w14:paraId="101A5590" w14:textId="4424D8CC" w:rsidR="00705AC5" w:rsidRPr="000E2D26" w:rsidRDefault="00705AC5" w:rsidP="001A22C8">
            <w:pPr>
              <w:contextualSpacing/>
              <w:jc w:val="both"/>
              <w:rPr>
                <w:rFonts w:cs="Arial"/>
                <w:i/>
                <w:iCs/>
              </w:rPr>
            </w:pPr>
            <w:r w:rsidRPr="000E2D26">
              <w:rPr>
                <w:rFonts w:cs="Arial"/>
                <w:i/>
                <w:iCs/>
              </w:rPr>
              <w:t xml:space="preserve">a) articolele și punctele – în </w:t>
            </w:r>
            <w:proofErr w:type="spellStart"/>
            <w:r w:rsidRPr="000E2D26">
              <w:rPr>
                <w:rFonts w:cs="Arial"/>
                <w:i/>
                <w:iCs/>
              </w:rPr>
              <w:t>secţiuni</w:t>
            </w:r>
            <w:proofErr w:type="spellEnd"/>
            <w:r w:rsidRPr="000E2D26">
              <w:rPr>
                <w:rFonts w:cs="Arial"/>
                <w:i/>
                <w:iCs/>
              </w:rPr>
              <w:t xml:space="preserve">, însemnate succesiv cu numere ordinare exprimate prin cifre arabe. În cazul unor acte normative complexe, articolele și punctele pot fi grupate mai </w:t>
            </w:r>
            <w:proofErr w:type="spellStart"/>
            <w:r w:rsidRPr="000E2D26">
              <w:rPr>
                <w:rFonts w:cs="Arial"/>
                <w:i/>
                <w:iCs/>
              </w:rPr>
              <w:t>întîi</w:t>
            </w:r>
            <w:proofErr w:type="spellEnd"/>
            <w:r w:rsidRPr="000E2D26">
              <w:rPr>
                <w:rFonts w:cs="Arial"/>
                <w:i/>
                <w:iCs/>
              </w:rPr>
              <w:t xml:space="preserve"> în paragrafe și/sau subsecțiuni;</w:t>
            </w:r>
          </w:p>
          <w:p w14:paraId="5D5130BB" w14:textId="77777777" w:rsidR="00705AC5" w:rsidRPr="000E2D26" w:rsidRDefault="00705AC5" w:rsidP="001A22C8">
            <w:pPr>
              <w:spacing w:after="0"/>
              <w:contextualSpacing/>
              <w:jc w:val="both"/>
              <w:rPr>
                <w:rFonts w:cs="Arial"/>
                <w:i/>
                <w:iCs/>
              </w:rPr>
            </w:pPr>
            <w:r w:rsidRPr="000E2D26">
              <w:rPr>
                <w:rFonts w:cs="Arial"/>
                <w:i/>
                <w:iCs/>
              </w:rPr>
              <w:t xml:space="preserve">b) </w:t>
            </w:r>
            <w:proofErr w:type="spellStart"/>
            <w:r w:rsidRPr="000E2D26">
              <w:rPr>
                <w:rFonts w:cs="Arial"/>
                <w:i/>
                <w:iCs/>
              </w:rPr>
              <w:t>secţiunile</w:t>
            </w:r>
            <w:proofErr w:type="spellEnd"/>
            <w:r w:rsidRPr="000E2D26">
              <w:rPr>
                <w:rFonts w:cs="Arial"/>
                <w:i/>
                <w:iCs/>
              </w:rPr>
              <w:t xml:space="preserve"> – în capitole, însemnate succesiv cu numere ordinare exprimate prin cifre romane;</w:t>
            </w:r>
          </w:p>
          <w:p w14:paraId="0EC75159" w14:textId="77777777" w:rsidR="00705AC5" w:rsidRPr="000E2D26" w:rsidRDefault="00705AC5" w:rsidP="001A22C8">
            <w:pPr>
              <w:spacing w:after="0"/>
              <w:contextualSpacing/>
              <w:jc w:val="both"/>
              <w:rPr>
                <w:rFonts w:cs="Arial"/>
                <w:i/>
                <w:iCs/>
              </w:rPr>
            </w:pPr>
            <w:r w:rsidRPr="000E2D26">
              <w:rPr>
                <w:rFonts w:cs="Arial"/>
                <w:i/>
                <w:iCs/>
              </w:rPr>
              <w:t>c) capitolele – în titluri, însemnate succesiv cu numere ordinare exprimate prin cifre romane;</w:t>
            </w:r>
          </w:p>
          <w:p w14:paraId="0F888DE4" w14:textId="77777777" w:rsidR="00705AC5" w:rsidRPr="000E2D26" w:rsidRDefault="00705AC5" w:rsidP="001A22C8">
            <w:pPr>
              <w:spacing w:after="0"/>
              <w:contextualSpacing/>
              <w:jc w:val="both"/>
              <w:rPr>
                <w:rFonts w:cs="Arial"/>
                <w:i/>
                <w:iCs/>
              </w:rPr>
            </w:pPr>
            <w:r w:rsidRPr="000E2D26">
              <w:rPr>
                <w:rFonts w:cs="Arial"/>
                <w:i/>
                <w:iCs/>
              </w:rPr>
              <w:t xml:space="preserve">d) în cazul actelor normative complexe, titlurile pot fi grupate în </w:t>
            </w:r>
            <w:proofErr w:type="spellStart"/>
            <w:r w:rsidRPr="000E2D26">
              <w:rPr>
                <w:rFonts w:cs="Arial"/>
                <w:i/>
                <w:iCs/>
              </w:rPr>
              <w:t>părţi</w:t>
            </w:r>
            <w:proofErr w:type="spellEnd"/>
            <w:r w:rsidRPr="000E2D26">
              <w:rPr>
                <w:rFonts w:cs="Arial"/>
                <w:i/>
                <w:iCs/>
              </w:rPr>
              <w:t xml:space="preserve"> sau </w:t>
            </w:r>
            <w:proofErr w:type="spellStart"/>
            <w:r w:rsidRPr="000E2D26">
              <w:rPr>
                <w:rFonts w:cs="Arial"/>
                <w:i/>
                <w:iCs/>
              </w:rPr>
              <w:t>cărţi</w:t>
            </w:r>
            <w:proofErr w:type="spellEnd"/>
            <w:r w:rsidRPr="000E2D26">
              <w:rPr>
                <w:rFonts w:cs="Arial"/>
                <w:i/>
                <w:iCs/>
              </w:rPr>
              <w:t>, însemnate succesiv cu numere ordinare scrise cu litere.</w:t>
            </w:r>
          </w:p>
          <w:p w14:paraId="5677E97D" w14:textId="77777777" w:rsidR="00705AC5" w:rsidRPr="00EF42FC" w:rsidRDefault="00705AC5" w:rsidP="001A22C8">
            <w:pPr>
              <w:spacing w:after="0"/>
              <w:contextualSpacing/>
              <w:jc w:val="both"/>
              <w:rPr>
                <w:rFonts w:cs="Arial"/>
              </w:rPr>
            </w:pPr>
            <w:r w:rsidRPr="000E2D26">
              <w:rPr>
                <w:rFonts w:cs="Arial"/>
                <w:i/>
                <w:iCs/>
              </w:rPr>
              <w:lastRenderedPageBreak/>
              <w:t xml:space="preserve">(2) Paragrafele, subsecțiunile, </w:t>
            </w:r>
            <w:proofErr w:type="spellStart"/>
            <w:r w:rsidRPr="000E2D26">
              <w:rPr>
                <w:rFonts w:cs="Arial"/>
                <w:i/>
                <w:iCs/>
              </w:rPr>
              <w:t>secţiunile</w:t>
            </w:r>
            <w:proofErr w:type="spellEnd"/>
            <w:r w:rsidRPr="000E2D26">
              <w:rPr>
                <w:rFonts w:cs="Arial"/>
                <w:i/>
                <w:iCs/>
              </w:rPr>
              <w:t xml:space="preserve">, capitolele, titlurile, </w:t>
            </w:r>
            <w:proofErr w:type="spellStart"/>
            <w:r w:rsidRPr="000E2D26">
              <w:rPr>
                <w:rFonts w:cs="Arial"/>
                <w:i/>
                <w:iCs/>
              </w:rPr>
              <w:t>părţile</w:t>
            </w:r>
            <w:proofErr w:type="spellEnd"/>
            <w:r w:rsidRPr="000E2D26">
              <w:rPr>
                <w:rFonts w:cs="Arial"/>
                <w:i/>
                <w:iCs/>
              </w:rPr>
              <w:t xml:space="preserve"> și </w:t>
            </w:r>
            <w:proofErr w:type="spellStart"/>
            <w:r w:rsidRPr="000E2D26">
              <w:rPr>
                <w:rFonts w:cs="Arial"/>
                <w:i/>
                <w:iCs/>
              </w:rPr>
              <w:t>cărţile</w:t>
            </w:r>
            <w:proofErr w:type="spellEnd"/>
            <w:r w:rsidRPr="000E2D26">
              <w:rPr>
                <w:rFonts w:cs="Arial"/>
                <w:i/>
                <w:iCs/>
              </w:rPr>
              <w:t xml:space="preserve"> se denumesc prin exprimarea sintetică a reglementărilor pe care le cuprind</w:t>
            </w:r>
            <w:r w:rsidRPr="00EF42FC">
              <w:rPr>
                <w:rFonts w:cs="Arial"/>
              </w:rPr>
              <w:t>.</w:t>
            </w:r>
          </w:p>
          <w:p w14:paraId="21955D1B" w14:textId="646C69F9" w:rsidR="00705AC5" w:rsidRDefault="00705AC5" w:rsidP="001A22C8">
            <w:pPr>
              <w:spacing w:after="0"/>
              <w:contextualSpacing/>
              <w:jc w:val="both"/>
              <w:rPr>
                <w:rFonts w:cs="Arial"/>
              </w:rPr>
            </w:pPr>
            <w:r w:rsidRPr="00EF42FC">
              <w:rPr>
                <w:rFonts w:cs="Arial"/>
              </w:rPr>
              <w:t>Astfel, necesită revizuire</w:t>
            </w:r>
            <w:r>
              <w:rPr>
                <w:rFonts w:cs="Arial"/>
              </w:rPr>
              <w:t xml:space="preserve"> structurarea elementelor conținutului în acord cu dispozițiile enunțate, or în cazul examinat este suficientă structurarea pe capitole și secțiuni (subsecțiuni).</w:t>
            </w:r>
          </w:p>
          <w:p w14:paraId="42200E74" w14:textId="26CCD336" w:rsidR="000E2D26" w:rsidRPr="000E2D26" w:rsidRDefault="00BC7251" w:rsidP="001A22C8">
            <w:pPr>
              <w:spacing w:after="0"/>
              <w:contextualSpacing/>
              <w:jc w:val="both"/>
              <w:rPr>
                <w:rFonts w:cs="Arial"/>
                <w:i/>
                <w:iCs/>
              </w:rPr>
            </w:pPr>
            <w:r>
              <w:rPr>
                <w:rFonts w:cs="Arial"/>
              </w:rPr>
              <w:t xml:space="preserve">În același timp, conform prevederilor pct. </w:t>
            </w:r>
            <w:r w:rsidR="000E2D26">
              <w:rPr>
                <w:rFonts w:cs="Arial"/>
              </w:rPr>
              <w:t>6.2.1 din R.01.04:2018</w:t>
            </w:r>
            <w:r w:rsidR="000E2D26">
              <w:rPr>
                <w:rStyle w:val="Referinnotdesubsol"/>
                <w:rFonts w:cs="Arial"/>
              </w:rPr>
              <w:footnoteReference w:id="1"/>
            </w:r>
            <w:r w:rsidR="000E2D26">
              <w:rPr>
                <w:rFonts w:cs="Arial"/>
              </w:rPr>
              <w:t xml:space="preserve">, </w:t>
            </w:r>
            <w:r w:rsidR="000E2D26">
              <w:t xml:space="preserve"> </w:t>
            </w:r>
            <w:r w:rsidR="000E2D26">
              <w:rPr>
                <w:rFonts w:cs="Arial"/>
                <w:i/>
                <w:iCs/>
              </w:rPr>
              <w:t>t</w:t>
            </w:r>
            <w:r w:rsidR="000E2D26" w:rsidRPr="000E2D26">
              <w:rPr>
                <w:rFonts w:cs="Arial"/>
                <w:i/>
                <w:iCs/>
              </w:rPr>
              <w:t>extul documentelor normative se grupează în diviziuni în modul următor: capitole, subcapitole, puncte, subpuncte. Capitolele pot fi divizate în puncte sau în subcapitole cu punctele corespunzătoare.</w:t>
            </w:r>
          </w:p>
          <w:p w14:paraId="27BED980" w14:textId="476D4D1A" w:rsidR="00BC7251" w:rsidRPr="00EF42FC" w:rsidRDefault="000E2D26" w:rsidP="001A22C8">
            <w:pPr>
              <w:spacing w:after="0"/>
              <w:contextualSpacing/>
              <w:jc w:val="both"/>
              <w:rPr>
                <w:rFonts w:cs="Arial"/>
              </w:rPr>
            </w:pPr>
            <w:r w:rsidRPr="000E2D26">
              <w:rPr>
                <w:rFonts w:cs="Arial"/>
                <w:i/>
                <w:iCs/>
              </w:rPr>
              <w:t>Punctele, în caz de necesitate, pot fi divizate în subpuncte</w:t>
            </w:r>
            <w:r>
              <w:rPr>
                <w:rFonts w:cs="Arial"/>
              </w:rPr>
              <w:t xml:space="preserve">. </w:t>
            </w:r>
          </w:p>
        </w:tc>
        <w:tc>
          <w:tcPr>
            <w:tcW w:w="420" w:type="pct"/>
            <w:tcBorders>
              <w:top w:val="single" w:sz="4" w:space="0" w:color="000000"/>
              <w:left w:val="single" w:sz="4" w:space="0" w:color="000000"/>
              <w:bottom w:val="single" w:sz="4" w:space="0" w:color="000000"/>
              <w:right w:val="single" w:sz="4" w:space="0" w:color="000000"/>
            </w:tcBorders>
          </w:tcPr>
          <w:p w14:paraId="5FAABE3E" w14:textId="77777777" w:rsidR="00705AC5" w:rsidRPr="00EF42FC" w:rsidRDefault="00705AC5" w:rsidP="001A22C8">
            <w:pPr>
              <w:spacing w:after="0" w:line="240" w:lineRule="auto"/>
              <w:rPr>
                <w:rFonts w:eastAsia="Calibri" w:cs="Arial"/>
                <w:sz w:val="20"/>
                <w:szCs w:val="20"/>
              </w:rPr>
            </w:pPr>
          </w:p>
        </w:tc>
      </w:tr>
      <w:tr w:rsidR="001441D2" w:rsidRPr="00EF42FC" w14:paraId="379F3E51" w14:textId="77777777" w:rsidTr="00751C97">
        <w:tc>
          <w:tcPr>
            <w:tcW w:w="261" w:type="pct"/>
            <w:tcBorders>
              <w:top w:val="single" w:sz="4" w:space="0" w:color="000000"/>
              <w:left w:val="single" w:sz="4" w:space="0" w:color="000000"/>
              <w:bottom w:val="single" w:sz="4" w:space="0" w:color="000000"/>
              <w:right w:val="single" w:sz="4" w:space="0" w:color="000000"/>
            </w:tcBorders>
          </w:tcPr>
          <w:p w14:paraId="2DFDE797" w14:textId="77777777" w:rsidR="001441D2" w:rsidRPr="00EF42FC" w:rsidRDefault="001441D2" w:rsidP="00751C97">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tcPr>
          <w:p w14:paraId="00AA6181" w14:textId="13E7CC93" w:rsidR="001441D2" w:rsidRPr="00EF33E8" w:rsidRDefault="001441D2" w:rsidP="00751C97">
            <w:pPr>
              <w:widowControl w:val="0"/>
              <w:shd w:val="clear" w:color="auto" w:fill="FFFFFF"/>
              <w:autoSpaceDE w:val="0"/>
              <w:autoSpaceDN w:val="0"/>
              <w:adjustRightInd w:val="0"/>
              <w:spacing w:after="0" w:line="240" w:lineRule="auto"/>
              <w:ind w:left="-61" w:right="-38" w:hanging="14"/>
              <w:jc w:val="center"/>
              <w:rPr>
                <w:rFonts w:cs="Arial"/>
                <w:szCs w:val="24"/>
              </w:rPr>
            </w:pPr>
            <w:r>
              <w:rPr>
                <w:rFonts w:cs="Arial"/>
                <w:szCs w:val="24"/>
              </w:rPr>
              <w:t>Tot textul</w:t>
            </w:r>
          </w:p>
        </w:tc>
        <w:tc>
          <w:tcPr>
            <w:tcW w:w="410" w:type="pct"/>
            <w:tcBorders>
              <w:top w:val="single" w:sz="4" w:space="0" w:color="000000"/>
              <w:left w:val="single" w:sz="4" w:space="0" w:color="000000"/>
              <w:bottom w:val="single" w:sz="4" w:space="0" w:color="000000"/>
              <w:right w:val="single" w:sz="4" w:space="0" w:color="000000"/>
            </w:tcBorders>
          </w:tcPr>
          <w:p w14:paraId="236B3695" w14:textId="2B8E3B3C" w:rsidR="001441D2" w:rsidRPr="00EF42FC" w:rsidRDefault="001441D2" w:rsidP="001A22C8">
            <w:pPr>
              <w:spacing w:after="0" w:line="240" w:lineRule="auto"/>
              <w:ind w:left="-80" w:right="-94" w:hanging="14"/>
              <w:rPr>
                <w:rFonts w:eastAsia="Calibri" w:cs="Arial"/>
                <w:szCs w:val="24"/>
              </w:rPr>
            </w:pPr>
            <w:r w:rsidRPr="00EF42FC">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6319A5C1" w14:textId="207504E9" w:rsidR="001441D2" w:rsidRPr="00EF42FC" w:rsidRDefault="001441D2" w:rsidP="00B62751">
            <w:pPr>
              <w:spacing w:after="0"/>
              <w:jc w:val="both"/>
              <w:rPr>
                <w:rFonts w:cs="Arial"/>
              </w:rPr>
            </w:pPr>
            <w:r>
              <w:rPr>
                <w:rFonts w:cs="Arial"/>
              </w:rPr>
              <w:t>A se grupa și structura elementele structurale în puncte și subpuncte</w:t>
            </w:r>
          </w:p>
        </w:tc>
        <w:tc>
          <w:tcPr>
            <w:tcW w:w="2035" w:type="pct"/>
            <w:tcBorders>
              <w:top w:val="single" w:sz="4" w:space="0" w:color="000000"/>
              <w:left w:val="single" w:sz="4" w:space="0" w:color="000000"/>
              <w:bottom w:val="single" w:sz="4" w:space="0" w:color="000000"/>
              <w:right w:val="single" w:sz="4" w:space="0" w:color="000000"/>
            </w:tcBorders>
          </w:tcPr>
          <w:p w14:paraId="69F8C839" w14:textId="62E2F990" w:rsidR="001441D2" w:rsidRPr="00EF42FC" w:rsidRDefault="001441D2" w:rsidP="001A22C8">
            <w:pPr>
              <w:contextualSpacing/>
              <w:jc w:val="both"/>
              <w:rPr>
                <w:rFonts w:cs="Arial"/>
              </w:rPr>
            </w:pPr>
            <w:r>
              <w:rPr>
                <w:rFonts w:cs="Arial"/>
              </w:rPr>
              <w:t>Ibidem nr. crt. 4.</w:t>
            </w:r>
          </w:p>
        </w:tc>
        <w:tc>
          <w:tcPr>
            <w:tcW w:w="420" w:type="pct"/>
            <w:tcBorders>
              <w:top w:val="single" w:sz="4" w:space="0" w:color="000000"/>
              <w:left w:val="single" w:sz="4" w:space="0" w:color="000000"/>
              <w:bottom w:val="single" w:sz="4" w:space="0" w:color="000000"/>
              <w:right w:val="single" w:sz="4" w:space="0" w:color="000000"/>
            </w:tcBorders>
          </w:tcPr>
          <w:p w14:paraId="08261278" w14:textId="77777777" w:rsidR="001441D2" w:rsidRPr="00EF42FC" w:rsidRDefault="001441D2" w:rsidP="001A22C8">
            <w:pPr>
              <w:spacing w:after="0" w:line="240" w:lineRule="auto"/>
              <w:rPr>
                <w:rFonts w:eastAsia="Calibri" w:cs="Arial"/>
                <w:sz w:val="20"/>
                <w:szCs w:val="20"/>
              </w:rPr>
            </w:pPr>
          </w:p>
        </w:tc>
      </w:tr>
      <w:tr w:rsidR="001A22C8" w:rsidRPr="00EF42FC" w14:paraId="0539AB97" w14:textId="77777777" w:rsidTr="00751C97">
        <w:tc>
          <w:tcPr>
            <w:tcW w:w="261" w:type="pct"/>
            <w:tcBorders>
              <w:top w:val="single" w:sz="4" w:space="0" w:color="000000"/>
              <w:left w:val="single" w:sz="4" w:space="0" w:color="000000"/>
              <w:bottom w:val="single" w:sz="4" w:space="0" w:color="000000"/>
              <w:right w:val="single" w:sz="4" w:space="0" w:color="000000"/>
            </w:tcBorders>
          </w:tcPr>
          <w:p w14:paraId="24A772D6" w14:textId="77777777" w:rsidR="00705AC5" w:rsidRPr="00EF42FC" w:rsidRDefault="00705AC5" w:rsidP="00751C97">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tcPr>
          <w:p w14:paraId="46ED36A3" w14:textId="4F4C5533" w:rsidR="00705AC5" w:rsidRPr="00EF33E8" w:rsidRDefault="00CF47BE" w:rsidP="00751C97">
            <w:pPr>
              <w:widowControl w:val="0"/>
              <w:shd w:val="clear" w:color="auto" w:fill="FFFFFF"/>
              <w:autoSpaceDE w:val="0"/>
              <w:autoSpaceDN w:val="0"/>
              <w:adjustRightInd w:val="0"/>
              <w:spacing w:after="0" w:line="240" w:lineRule="auto"/>
              <w:ind w:left="-61" w:right="-38" w:hanging="14"/>
              <w:jc w:val="center"/>
              <w:rPr>
                <w:rFonts w:cs="Arial"/>
                <w:szCs w:val="24"/>
              </w:rPr>
            </w:pPr>
            <w:r w:rsidRPr="00EF33E8">
              <w:rPr>
                <w:rFonts w:cs="Arial"/>
                <w:szCs w:val="24"/>
              </w:rPr>
              <w:t xml:space="preserve">Pagina </w:t>
            </w:r>
            <w:r w:rsidR="001441D2">
              <w:rPr>
                <w:rFonts w:cs="Arial"/>
                <w:szCs w:val="24"/>
              </w:rPr>
              <w:t>6</w:t>
            </w:r>
          </w:p>
        </w:tc>
        <w:tc>
          <w:tcPr>
            <w:tcW w:w="410" w:type="pct"/>
            <w:tcBorders>
              <w:top w:val="single" w:sz="4" w:space="0" w:color="000000"/>
              <w:left w:val="single" w:sz="4" w:space="0" w:color="000000"/>
              <w:bottom w:val="single" w:sz="4" w:space="0" w:color="000000"/>
              <w:right w:val="single" w:sz="4" w:space="0" w:color="000000"/>
            </w:tcBorders>
          </w:tcPr>
          <w:p w14:paraId="1555DC37" w14:textId="66F67FE0" w:rsidR="00705AC5" w:rsidRPr="00EF42FC" w:rsidRDefault="00705AC5" w:rsidP="001A22C8">
            <w:pPr>
              <w:spacing w:after="0" w:line="240" w:lineRule="auto"/>
              <w:ind w:left="-80" w:right="-94" w:hanging="14"/>
              <w:rPr>
                <w:rFonts w:eastAsia="Calibri" w:cs="Arial"/>
                <w:szCs w:val="24"/>
              </w:rPr>
            </w:pPr>
            <w:r w:rsidRPr="00EF42FC">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19EDEB05" w14:textId="02505DA8" w:rsidR="00705AC5" w:rsidRPr="00EF42FC" w:rsidRDefault="00CF47BE" w:rsidP="001A22C8">
            <w:pPr>
              <w:spacing w:after="0"/>
              <w:rPr>
                <w:rFonts w:cs="Arial"/>
              </w:rPr>
            </w:pPr>
            <w:r w:rsidRPr="0080010D">
              <w:rPr>
                <w:rFonts w:cs="Arial"/>
              </w:rPr>
              <w:t xml:space="preserve">A se substitui expresia </w:t>
            </w:r>
            <w:r w:rsidRPr="0080010D">
              <w:rPr>
                <w:rFonts w:cs="Arial"/>
                <w:i/>
                <w:iCs/>
              </w:rPr>
              <w:t xml:space="preserve">„Data punerii în aplicare” cu expresia </w:t>
            </w:r>
            <w:r w:rsidRPr="0080010D">
              <w:rPr>
                <w:rFonts w:cs="Arial"/>
                <w:b/>
                <w:bCs/>
              </w:rPr>
              <w:t>„Data intrării în vigoare”</w:t>
            </w:r>
            <w:r w:rsidRPr="0080010D">
              <w:rPr>
                <w:rFonts w:cs="Arial"/>
              </w:rPr>
              <w:t>.</w:t>
            </w:r>
          </w:p>
        </w:tc>
        <w:tc>
          <w:tcPr>
            <w:tcW w:w="2035" w:type="pct"/>
            <w:tcBorders>
              <w:top w:val="single" w:sz="4" w:space="0" w:color="000000"/>
              <w:left w:val="single" w:sz="4" w:space="0" w:color="000000"/>
              <w:bottom w:val="single" w:sz="4" w:space="0" w:color="000000"/>
              <w:right w:val="single" w:sz="4" w:space="0" w:color="000000"/>
            </w:tcBorders>
          </w:tcPr>
          <w:p w14:paraId="443180CC" w14:textId="06429D11" w:rsidR="00CF47BE" w:rsidRPr="0080010D" w:rsidRDefault="00CF47BE" w:rsidP="001A22C8">
            <w:pPr>
              <w:shd w:val="clear" w:color="auto" w:fill="FFFFFF"/>
              <w:contextualSpacing/>
              <w:jc w:val="both"/>
              <w:rPr>
                <w:rFonts w:cs="Arial"/>
              </w:rPr>
            </w:pPr>
            <w:r w:rsidRPr="0080010D">
              <w:rPr>
                <w:rFonts w:cs="Arial"/>
              </w:rPr>
              <w:t xml:space="preserve">Conform prevederilor art. 56 alin. (1) din Legea nr. 100 din 22.12.2017 cu privire la actele normative, </w:t>
            </w:r>
            <w:r w:rsidRPr="00B41C55">
              <w:rPr>
                <w:rFonts w:cs="Arial"/>
                <w:i/>
                <w:iCs/>
              </w:rPr>
              <w:t>actele normative intră în vigoare peste o lună de la data publicării în Monitorul Oficial al Republicii Moldova sau la data indicată în textul actului normativ, care nu poate fi anterioară datei publicării</w:t>
            </w:r>
            <w:r w:rsidRPr="0080010D">
              <w:rPr>
                <w:rFonts w:cs="Arial"/>
              </w:rPr>
              <w:t>.</w:t>
            </w:r>
          </w:p>
          <w:p w14:paraId="575DEBC4" w14:textId="3A26F22B" w:rsidR="00705AC5" w:rsidRPr="00EF42FC" w:rsidRDefault="00CF47BE" w:rsidP="001A22C8">
            <w:pPr>
              <w:spacing w:after="0"/>
              <w:rPr>
                <w:rFonts w:cs="Arial"/>
              </w:rPr>
            </w:pPr>
            <w:r w:rsidRPr="0080010D">
              <w:rPr>
                <w:rFonts w:cs="Arial"/>
              </w:rPr>
              <w:t>Se reclamă aducerea în concordanță a noțiunilor caracteristice actelor normative cu privire la intrarea în vigoare.</w:t>
            </w:r>
          </w:p>
        </w:tc>
        <w:tc>
          <w:tcPr>
            <w:tcW w:w="420" w:type="pct"/>
            <w:tcBorders>
              <w:top w:val="single" w:sz="4" w:space="0" w:color="000000"/>
              <w:left w:val="single" w:sz="4" w:space="0" w:color="000000"/>
              <w:bottom w:val="single" w:sz="4" w:space="0" w:color="000000"/>
              <w:right w:val="single" w:sz="4" w:space="0" w:color="000000"/>
            </w:tcBorders>
          </w:tcPr>
          <w:p w14:paraId="492AACF2" w14:textId="77777777" w:rsidR="00705AC5" w:rsidRPr="00EF42FC" w:rsidRDefault="00705AC5" w:rsidP="001A22C8">
            <w:pPr>
              <w:spacing w:after="0" w:line="240" w:lineRule="auto"/>
              <w:rPr>
                <w:rFonts w:eastAsia="Calibri" w:cs="Arial"/>
                <w:sz w:val="20"/>
                <w:szCs w:val="20"/>
              </w:rPr>
            </w:pPr>
          </w:p>
        </w:tc>
      </w:tr>
      <w:tr w:rsidR="002271BE" w:rsidRPr="00EF42FC" w14:paraId="2C6BD7AA" w14:textId="77777777" w:rsidTr="00751C97">
        <w:tc>
          <w:tcPr>
            <w:tcW w:w="261" w:type="pct"/>
            <w:tcBorders>
              <w:top w:val="single" w:sz="4" w:space="0" w:color="000000"/>
              <w:left w:val="single" w:sz="4" w:space="0" w:color="000000"/>
              <w:bottom w:val="single" w:sz="4" w:space="0" w:color="000000"/>
              <w:right w:val="single" w:sz="4" w:space="0" w:color="000000"/>
            </w:tcBorders>
          </w:tcPr>
          <w:p w14:paraId="0903E274" w14:textId="77777777" w:rsidR="002271BE" w:rsidRPr="00EF42FC" w:rsidRDefault="002271BE" w:rsidP="00751C97">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tcPr>
          <w:p w14:paraId="751335AF" w14:textId="32D6D9B2" w:rsidR="002271BE" w:rsidRPr="00EF33E8" w:rsidRDefault="001441D2" w:rsidP="00751C97">
            <w:pPr>
              <w:widowControl w:val="0"/>
              <w:shd w:val="clear" w:color="auto" w:fill="FFFFFF"/>
              <w:autoSpaceDE w:val="0"/>
              <w:autoSpaceDN w:val="0"/>
              <w:adjustRightInd w:val="0"/>
              <w:spacing w:after="0" w:line="240" w:lineRule="auto"/>
              <w:ind w:left="-61" w:right="-38" w:hanging="14"/>
              <w:jc w:val="center"/>
              <w:rPr>
                <w:rFonts w:cs="Arial"/>
                <w:szCs w:val="24"/>
              </w:rPr>
            </w:pPr>
            <w:r>
              <w:rPr>
                <w:rFonts w:cs="Arial"/>
                <w:szCs w:val="24"/>
              </w:rPr>
              <w:t>12</w:t>
            </w:r>
            <w:r w:rsidR="002271BE">
              <w:rPr>
                <w:rFonts w:cs="Arial"/>
                <w:szCs w:val="24"/>
              </w:rPr>
              <w:t>.1</w:t>
            </w:r>
            <w:r>
              <w:rPr>
                <w:rFonts w:cs="Arial"/>
                <w:szCs w:val="24"/>
              </w:rPr>
              <w:t>.8</w:t>
            </w:r>
          </w:p>
        </w:tc>
        <w:tc>
          <w:tcPr>
            <w:tcW w:w="410" w:type="pct"/>
            <w:tcBorders>
              <w:top w:val="single" w:sz="4" w:space="0" w:color="000000"/>
              <w:left w:val="single" w:sz="4" w:space="0" w:color="000000"/>
              <w:bottom w:val="single" w:sz="4" w:space="0" w:color="000000"/>
              <w:right w:val="single" w:sz="4" w:space="0" w:color="000000"/>
            </w:tcBorders>
          </w:tcPr>
          <w:p w14:paraId="7CFF6797" w14:textId="3BD2A2C7" w:rsidR="002271BE" w:rsidRPr="00EF42FC" w:rsidRDefault="002271BE" w:rsidP="001A22C8">
            <w:pPr>
              <w:spacing w:after="0" w:line="240" w:lineRule="auto"/>
              <w:ind w:left="-80" w:right="-94" w:hanging="14"/>
              <w:rPr>
                <w:rFonts w:eastAsia="Calibri" w:cs="Arial"/>
                <w:szCs w:val="24"/>
              </w:rPr>
            </w:pPr>
            <w:r w:rsidRPr="00EF42FC">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6D361725" w14:textId="54D78226" w:rsidR="002271BE" w:rsidRPr="0080010D" w:rsidRDefault="002271BE" w:rsidP="002271BE">
            <w:pPr>
              <w:spacing w:after="0"/>
              <w:rPr>
                <w:rFonts w:cs="Arial"/>
              </w:rPr>
            </w:pPr>
            <w:r>
              <w:rPr>
                <w:rFonts w:cs="Arial"/>
              </w:rPr>
              <w:t xml:space="preserve">A se </w:t>
            </w:r>
            <w:r w:rsidR="001441D2">
              <w:rPr>
                <w:rFonts w:cs="Arial"/>
              </w:rPr>
              <w:t>substitui</w:t>
            </w:r>
            <w:r>
              <w:rPr>
                <w:rFonts w:cs="Arial"/>
              </w:rPr>
              <w:t xml:space="preserve"> </w:t>
            </w:r>
            <w:r w:rsidR="001441D2">
              <w:rPr>
                <w:rFonts w:cs="Arial"/>
              </w:rPr>
              <w:t>expresia</w:t>
            </w:r>
            <w:r>
              <w:rPr>
                <w:rFonts w:cs="Arial"/>
              </w:rPr>
              <w:t xml:space="preserve"> „</w:t>
            </w:r>
            <w:r w:rsidR="00397EBA" w:rsidRPr="00397EBA">
              <w:rPr>
                <w:rFonts w:cs="Arial"/>
                <w:i/>
                <w:iCs/>
              </w:rPr>
              <w:t xml:space="preserve">în cel </w:t>
            </w:r>
            <w:proofErr w:type="spellStart"/>
            <w:r w:rsidR="00397EBA" w:rsidRPr="00397EBA">
              <w:rPr>
                <w:rFonts w:cs="Arial"/>
                <w:i/>
                <w:iCs/>
              </w:rPr>
              <w:t>puţin</w:t>
            </w:r>
            <w:proofErr w:type="spellEnd"/>
            <w:r w:rsidR="00397EBA" w:rsidRPr="00397EBA">
              <w:rPr>
                <w:rFonts w:cs="Arial"/>
                <w:i/>
                <w:iCs/>
              </w:rPr>
              <w:t xml:space="preserve"> clasa de pericol de incendiu constructiv</w:t>
            </w:r>
            <w:r w:rsidR="00397EBA">
              <w:rPr>
                <w:rFonts w:cs="Arial"/>
                <w:i/>
                <w:iCs/>
              </w:rPr>
              <w:t xml:space="preserve"> C0</w:t>
            </w:r>
            <w:r>
              <w:rPr>
                <w:rFonts w:cs="Arial"/>
              </w:rPr>
              <w:t>”</w:t>
            </w:r>
            <w:r w:rsidR="001441D2">
              <w:rPr>
                <w:rFonts w:cs="Arial"/>
              </w:rPr>
              <w:t xml:space="preserve"> cu sintagma „</w:t>
            </w:r>
            <w:r w:rsidR="00397EBA">
              <w:rPr>
                <w:rFonts w:cs="Arial"/>
                <w:b/>
                <w:bCs/>
                <w:i/>
                <w:iCs/>
              </w:rPr>
              <w:t>conform grupei de combustibilitate C</w:t>
            </w:r>
            <w:r w:rsidR="00397EBA" w:rsidRPr="00397EBA">
              <w:rPr>
                <w:rFonts w:cs="Arial"/>
                <w:b/>
                <w:bCs/>
                <w:i/>
                <w:iCs/>
                <w:vertAlign w:val="subscript"/>
              </w:rPr>
              <w:t>0</w:t>
            </w:r>
            <w:r w:rsidR="001441D2">
              <w:rPr>
                <w:rFonts w:cs="Arial"/>
              </w:rPr>
              <w:t xml:space="preserve">” </w:t>
            </w:r>
          </w:p>
        </w:tc>
        <w:tc>
          <w:tcPr>
            <w:tcW w:w="2035" w:type="pct"/>
            <w:tcBorders>
              <w:top w:val="single" w:sz="4" w:space="0" w:color="000000"/>
              <w:left w:val="single" w:sz="4" w:space="0" w:color="000000"/>
              <w:bottom w:val="single" w:sz="4" w:space="0" w:color="000000"/>
              <w:right w:val="single" w:sz="4" w:space="0" w:color="000000"/>
            </w:tcBorders>
          </w:tcPr>
          <w:p w14:paraId="274652DE" w14:textId="366BBC5E" w:rsidR="00397EBA" w:rsidRDefault="002271BE" w:rsidP="00397EBA">
            <w:pPr>
              <w:shd w:val="clear" w:color="auto" w:fill="FFFFFF"/>
              <w:contextualSpacing/>
              <w:jc w:val="both"/>
              <w:rPr>
                <w:rFonts w:cs="Arial"/>
              </w:rPr>
            </w:pPr>
            <w:r w:rsidRPr="0080010D">
              <w:rPr>
                <w:rFonts w:cs="Arial"/>
              </w:rPr>
              <w:t xml:space="preserve">Conform prevederilor </w:t>
            </w:r>
            <w:r w:rsidR="00397EBA">
              <w:rPr>
                <w:rFonts w:cs="Arial"/>
              </w:rPr>
              <w:t xml:space="preserve">pct. 5.10 din NCM E.03.02, </w:t>
            </w:r>
            <w:r w:rsidR="00397EBA">
              <w:rPr>
                <w:rFonts w:cs="Arial"/>
                <w:i/>
                <w:iCs/>
              </w:rPr>
              <w:t>m</w:t>
            </w:r>
            <w:r w:rsidR="00397EBA" w:rsidRPr="00397EBA">
              <w:rPr>
                <w:rFonts w:cs="Arial"/>
                <w:i/>
                <w:iCs/>
              </w:rPr>
              <w:t xml:space="preserve">aterialele de </w:t>
            </w:r>
            <w:r w:rsidR="00397EBA" w:rsidRPr="00397EBA">
              <w:rPr>
                <w:rFonts w:cs="Arial"/>
                <w:i/>
                <w:iCs/>
              </w:rPr>
              <w:t>construcție</w:t>
            </w:r>
            <w:r w:rsidR="00397EBA" w:rsidRPr="00397EBA">
              <w:rPr>
                <w:rFonts w:cs="Arial"/>
                <w:i/>
                <w:iCs/>
              </w:rPr>
              <w:t xml:space="preserve"> se clasifică în incombustibile - </w:t>
            </w:r>
            <w:proofErr w:type="spellStart"/>
            <w:r w:rsidR="00397EBA" w:rsidRPr="00397EBA">
              <w:rPr>
                <w:rFonts w:cs="Arial"/>
                <w:i/>
                <w:iCs/>
              </w:rPr>
              <w:t>С</w:t>
            </w:r>
            <w:r w:rsidR="00397EBA" w:rsidRPr="00397EBA">
              <w:rPr>
                <w:rFonts w:cs="Arial"/>
                <w:i/>
                <w:iCs/>
                <w:vertAlign w:val="subscript"/>
              </w:rPr>
              <w:t>о</w:t>
            </w:r>
            <w:proofErr w:type="spellEnd"/>
            <w:r w:rsidR="00397EBA" w:rsidRPr="00397EBA">
              <w:rPr>
                <w:rFonts w:cs="Arial"/>
                <w:i/>
                <w:iCs/>
              </w:rPr>
              <w:t xml:space="preserve"> </w:t>
            </w:r>
            <w:proofErr w:type="spellStart"/>
            <w:r w:rsidR="00397EBA" w:rsidRPr="00397EBA">
              <w:rPr>
                <w:rFonts w:cs="Arial"/>
                <w:i/>
                <w:iCs/>
              </w:rPr>
              <w:t>şi</w:t>
            </w:r>
            <w:proofErr w:type="spellEnd"/>
            <w:r w:rsidR="00397EBA" w:rsidRPr="00397EBA">
              <w:rPr>
                <w:rFonts w:cs="Arial"/>
                <w:i/>
                <w:iCs/>
              </w:rPr>
              <w:t xml:space="preserve"> combustibile </w:t>
            </w:r>
            <w:r w:rsidR="00397EBA">
              <w:rPr>
                <w:rFonts w:cs="Arial"/>
                <w:i/>
                <w:iCs/>
              </w:rPr>
              <w:t>–</w:t>
            </w:r>
            <w:r w:rsidR="00397EBA" w:rsidRPr="00397EBA">
              <w:rPr>
                <w:rFonts w:cs="Arial"/>
                <w:i/>
                <w:iCs/>
              </w:rPr>
              <w:t xml:space="preserve"> С</w:t>
            </w:r>
            <w:r w:rsidR="00397EBA">
              <w:rPr>
                <w:rFonts w:cs="Arial"/>
                <w:i/>
                <w:iCs/>
              </w:rPr>
              <w:t>.</w:t>
            </w:r>
          </w:p>
          <w:p w14:paraId="4F22DA0E" w14:textId="5E5EEB53" w:rsidR="002271BE" w:rsidRPr="002271BE" w:rsidRDefault="002271BE" w:rsidP="00397EBA">
            <w:pPr>
              <w:shd w:val="clear" w:color="auto" w:fill="FFFFFF"/>
              <w:contextualSpacing/>
              <w:jc w:val="both"/>
              <w:rPr>
                <w:rFonts w:cs="Arial"/>
              </w:rPr>
            </w:pPr>
            <w:r>
              <w:rPr>
                <w:rFonts w:cs="Arial"/>
              </w:rPr>
              <w:t xml:space="preserve">Având în vedere </w:t>
            </w:r>
            <w:r w:rsidR="00397EBA">
              <w:rPr>
                <w:rFonts w:cs="Arial"/>
              </w:rPr>
              <w:t xml:space="preserve">că norma se referă la materialele de construcții, se reclamă adaptare textului la norma prenotată </w:t>
            </w:r>
          </w:p>
        </w:tc>
        <w:tc>
          <w:tcPr>
            <w:tcW w:w="420" w:type="pct"/>
            <w:tcBorders>
              <w:top w:val="single" w:sz="4" w:space="0" w:color="000000"/>
              <w:left w:val="single" w:sz="4" w:space="0" w:color="000000"/>
              <w:bottom w:val="single" w:sz="4" w:space="0" w:color="000000"/>
              <w:right w:val="single" w:sz="4" w:space="0" w:color="000000"/>
            </w:tcBorders>
          </w:tcPr>
          <w:p w14:paraId="07142F6B" w14:textId="77777777" w:rsidR="002271BE" w:rsidRPr="00EF42FC" w:rsidRDefault="002271BE" w:rsidP="001A22C8">
            <w:pPr>
              <w:spacing w:after="0" w:line="240" w:lineRule="auto"/>
              <w:rPr>
                <w:rFonts w:eastAsia="Calibri" w:cs="Arial"/>
                <w:sz w:val="20"/>
                <w:szCs w:val="20"/>
              </w:rPr>
            </w:pPr>
          </w:p>
        </w:tc>
      </w:tr>
      <w:tr w:rsidR="002271BE" w:rsidRPr="00EF42FC" w14:paraId="745412B0" w14:textId="77777777" w:rsidTr="00751C97">
        <w:tc>
          <w:tcPr>
            <w:tcW w:w="261" w:type="pct"/>
            <w:tcBorders>
              <w:top w:val="single" w:sz="4" w:space="0" w:color="000000"/>
              <w:left w:val="single" w:sz="4" w:space="0" w:color="000000"/>
              <w:bottom w:val="single" w:sz="4" w:space="0" w:color="000000"/>
              <w:right w:val="single" w:sz="4" w:space="0" w:color="000000"/>
            </w:tcBorders>
          </w:tcPr>
          <w:p w14:paraId="66E2CA8E" w14:textId="77777777" w:rsidR="002271BE" w:rsidRPr="00EF42FC" w:rsidRDefault="002271BE" w:rsidP="002271BE">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tcPr>
          <w:p w14:paraId="2581A1D9" w14:textId="30B59781" w:rsidR="002271BE" w:rsidRDefault="00397EBA" w:rsidP="002271BE">
            <w:pPr>
              <w:widowControl w:val="0"/>
              <w:shd w:val="clear" w:color="auto" w:fill="FFFFFF"/>
              <w:autoSpaceDE w:val="0"/>
              <w:autoSpaceDN w:val="0"/>
              <w:adjustRightInd w:val="0"/>
              <w:spacing w:after="0" w:line="240" w:lineRule="auto"/>
              <w:ind w:left="-61" w:right="-38" w:hanging="14"/>
              <w:jc w:val="center"/>
              <w:rPr>
                <w:rFonts w:cs="Arial"/>
                <w:szCs w:val="24"/>
              </w:rPr>
            </w:pPr>
            <w:r>
              <w:rPr>
                <w:rFonts w:cs="Arial"/>
                <w:szCs w:val="24"/>
              </w:rPr>
              <w:t>16</w:t>
            </w:r>
            <w:r w:rsidR="002271BE">
              <w:rPr>
                <w:rFonts w:cs="Arial"/>
                <w:szCs w:val="24"/>
              </w:rPr>
              <w:t>.</w:t>
            </w:r>
            <w:r>
              <w:rPr>
                <w:rFonts w:cs="Arial"/>
                <w:szCs w:val="24"/>
              </w:rPr>
              <w:t>1</w:t>
            </w:r>
          </w:p>
        </w:tc>
        <w:tc>
          <w:tcPr>
            <w:tcW w:w="410" w:type="pct"/>
            <w:tcBorders>
              <w:top w:val="single" w:sz="4" w:space="0" w:color="000000"/>
              <w:left w:val="single" w:sz="4" w:space="0" w:color="000000"/>
              <w:bottom w:val="single" w:sz="4" w:space="0" w:color="000000"/>
              <w:right w:val="single" w:sz="4" w:space="0" w:color="000000"/>
            </w:tcBorders>
          </w:tcPr>
          <w:p w14:paraId="792AC9C3" w14:textId="19AED806" w:rsidR="002271BE" w:rsidRPr="00EF42FC" w:rsidRDefault="002271BE" w:rsidP="002271BE">
            <w:pPr>
              <w:spacing w:after="0" w:line="240" w:lineRule="auto"/>
              <w:ind w:left="-80" w:right="-94" w:hanging="14"/>
              <w:rPr>
                <w:rFonts w:eastAsia="Calibri" w:cs="Arial"/>
                <w:szCs w:val="24"/>
              </w:rPr>
            </w:pPr>
            <w:r w:rsidRPr="00EF42FC">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798B2610" w14:textId="717CD0E4" w:rsidR="002271BE" w:rsidRDefault="002271BE" w:rsidP="002271BE">
            <w:pPr>
              <w:spacing w:after="0"/>
              <w:rPr>
                <w:rFonts w:cs="Arial"/>
              </w:rPr>
            </w:pPr>
            <w:r w:rsidRPr="0080010D">
              <w:rPr>
                <w:rFonts w:cs="Arial"/>
              </w:rPr>
              <w:t xml:space="preserve">A se </w:t>
            </w:r>
            <w:r>
              <w:rPr>
                <w:rFonts w:cs="Arial"/>
              </w:rPr>
              <w:t>exclude</w:t>
            </w:r>
            <w:r w:rsidR="00397EBA">
              <w:rPr>
                <w:rFonts w:cs="Arial"/>
              </w:rPr>
              <w:t xml:space="preserve"> textul „</w:t>
            </w:r>
            <w:r w:rsidR="00397EBA" w:rsidRPr="00397EBA">
              <w:rPr>
                <w:rFonts w:cs="Arial"/>
                <w:i/>
                <w:iCs/>
              </w:rPr>
              <w:t>cu cerințele SM EN 13501-2, SM EN 1634-1+A1, SM EN 81-58</w:t>
            </w:r>
            <w:r w:rsidR="00397EBA">
              <w:rPr>
                <w:rFonts w:cs="Arial"/>
              </w:rPr>
              <w:t>”</w:t>
            </w:r>
            <w:r>
              <w:rPr>
                <w:rFonts w:cs="Arial"/>
              </w:rPr>
              <w:t>.</w:t>
            </w:r>
          </w:p>
        </w:tc>
        <w:tc>
          <w:tcPr>
            <w:tcW w:w="2035" w:type="pct"/>
            <w:tcBorders>
              <w:top w:val="single" w:sz="4" w:space="0" w:color="000000"/>
              <w:left w:val="single" w:sz="4" w:space="0" w:color="000000"/>
              <w:bottom w:val="single" w:sz="4" w:space="0" w:color="000000"/>
              <w:right w:val="single" w:sz="4" w:space="0" w:color="000000"/>
            </w:tcBorders>
          </w:tcPr>
          <w:p w14:paraId="2A5B949A" w14:textId="77777777" w:rsidR="00397EBA" w:rsidRPr="0080010D" w:rsidRDefault="00397EBA" w:rsidP="00397EBA">
            <w:pPr>
              <w:contextualSpacing/>
              <w:jc w:val="both"/>
              <w:rPr>
                <w:rFonts w:cs="Arial"/>
              </w:rPr>
            </w:pPr>
            <w:r w:rsidRPr="0080010D">
              <w:rPr>
                <w:rFonts w:cs="Arial"/>
              </w:rPr>
              <w:t xml:space="preserve">Conform prevederilor art. 15 alin. (2) din Legea nr. 20 din 04.03.2016 cu privire la standardizarea națională, </w:t>
            </w:r>
            <w:r w:rsidRPr="00B41C55">
              <w:rPr>
                <w:rFonts w:cs="Arial"/>
                <w:i/>
                <w:iCs/>
              </w:rPr>
              <w:t xml:space="preserve">referințele la standardele moldovenești în actele normative, cu </w:t>
            </w:r>
            <w:proofErr w:type="spellStart"/>
            <w:r w:rsidRPr="00B41C55">
              <w:rPr>
                <w:rFonts w:cs="Arial"/>
                <w:i/>
                <w:iCs/>
              </w:rPr>
              <w:t>excepţia</w:t>
            </w:r>
            <w:proofErr w:type="spellEnd"/>
            <w:r w:rsidRPr="00B41C55">
              <w:rPr>
                <w:rFonts w:cs="Arial"/>
                <w:i/>
                <w:iCs/>
              </w:rPr>
              <w:t xml:space="preserve"> cazurilor prevăzute la art. 14 alin. (2), vor specifica explicit că aplicarea acestor standarde reprezintă </w:t>
            </w:r>
            <w:r w:rsidRPr="00B41C55">
              <w:rPr>
                <w:rFonts w:cs="Arial"/>
                <w:i/>
                <w:iCs/>
                <w:u w:val="single"/>
              </w:rPr>
              <w:t>modalitatea recomandată</w:t>
            </w:r>
            <w:r w:rsidRPr="00B41C55">
              <w:rPr>
                <w:rFonts w:cs="Arial"/>
                <w:i/>
                <w:iCs/>
              </w:rPr>
              <w:t xml:space="preserve">, </w:t>
            </w:r>
            <w:r w:rsidRPr="00B41C55">
              <w:rPr>
                <w:rFonts w:cs="Arial"/>
                <w:b/>
                <w:bCs/>
                <w:i/>
                <w:iCs/>
                <w:u w:val="single"/>
              </w:rPr>
              <w:t>fără a fi singura însă, pentru a demonstra conformitatea</w:t>
            </w:r>
            <w:r w:rsidRPr="00B41C55">
              <w:rPr>
                <w:rFonts w:cs="Arial"/>
                <w:i/>
                <w:iCs/>
              </w:rPr>
              <w:t xml:space="preserve"> cu </w:t>
            </w:r>
            <w:proofErr w:type="spellStart"/>
            <w:r w:rsidRPr="00B41C55">
              <w:rPr>
                <w:rFonts w:cs="Arial"/>
                <w:i/>
                <w:iCs/>
              </w:rPr>
              <w:t>cerinţele</w:t>
            </w:r>
            <w:proofErr w:type="spellEnd"/>
            <w:r w:rsidRPr="00B41C55">
              <w:rPr>
                <w:rFonts w:cs="Arial"/>
                <w:i/>
                <w:iCs/>
              </w:rPr>
              <w:t xml:space="preserve"> din actele normative respective.</w:t>
            </w:r>
          </w:p>
          <w:p w14:paraId="6A402720" w14:textId="2B065761" w:rsidR="002271BE" w:rsidRPr="0080010D" w:rsidRDefault="00397EBA" w:rsidP="00397EBA">
            <w:pPr>
              <w:shd w:val="clear" w:color="auto" w:fill="FFFFFF"/>
              <w:contextualSpacing/>
              <w:jc w:val="both"/>
              <w:rPr>
                <w:rFonts w:cs="Arial"/>
              </w:rPr>
            </w:pPr>
            <w:r w:rsidRPr="0080010D">
              <w:rPr>
                <w:rFonts w:cs="Arial"/>
              </w:rPr>
              <w:t xml:space="preserve">Respectiv, având în vedere că standardele nu sunt în sine acte normative în senul Legii nr. 100 din 22.12.2017 cu privire la actele normative, este necesară </w:t>
            </w:r>
            <w:r>
              <w:rPr>
                <w:rFonts w:cs="Arial"/>
              </w:rPr>
              <w:t>excluderea textului menționat</w:t>
            </w:r>
            <w:r w:rsidRPr="0080010D">
              <w:rPr>
                <w:rFonts w:cs="Arial"/>
              </w:rPr>
              <w:t>.</w:t>
            </w:r>
          </w:p>
        </w:tc>
        <w:tc>
          <w:tcPr>
            <w:tcW w:w="420" w:type="pct"/>
            <w:tcBorders>
              <w:top w:val="single" w:sz="4" w:space="0" w:color="000000"/>
              <w:left w:val="single" w:sz="4" w:space="0" w:color="000000"/>
              <w:bottom w:val="single" w:sz="4" w:space="0" w:color="000000"/>
              <w:right w:val="single" w:sz="4" w:space="0" w:color="000000"/>
            </w:tcBorders>
          </w:tcPr>
          <w:p w14:paraId="3A29E572" w14:textId="77777777" w:rsidR="002271BE" w:rsidRPr="00EF42FC" w:rsidRDefault="002271BE" w:rsidP="002271BE">
            <w:pPr>
              <w:spacing w:after="0" w:line="240" w:lineRule="auto"/>
              <w:rPr>
                <w:rFonts w:eastAsia="Calibri" w:cs="Arial"/>
                <w:sz w:val="20"/>
                <w:szCs w:val="20"/>
              </w:rPr>
            </w:pPr>
          </w:p>
        </w:tc>
      </w:tr>
      <w:tr w:rsidR="00594BA9" w:rsidRPr="00EF42FC" w14:paraId="2B95735B" w14:textId="77777777" w:rsidTr="00751C97">
        <w:tc>
          <w:tcPr>
            <w:tcW w:w="261" w:type="pct"/>
            <w:tcBorders>
              <w:top w:val="single" w:sz="4" w:space="0" w:color="000000"/>
              <w:left w:val="single" w:sz="4" w:space="0" w:color="000000"/>
              <w:bottom w:val="single" w:sz="4" w:space="0" w:color="000000"/>
              <w:right w:val="single" w:sz="4" w:space="0" w:color="000000"/>
            </w:tcBorders>
          </w:tcPr>
          <w:p w14:paraId="43214E5C" w14:textId="77777777" w:rsidR="00594BA9" w:rsidRPr="00EF42FC" w:rsidRDefault="00594BA9" w:rsidP="00594BA9">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tcPr>
          <w:p w14:paraId="6FC7F8BC" w14:textId="38152569" w:rsidR="00594BA9" w:rsidRDefault="00594BA9" w:rsidP="00594BA9">
            <w:pPr>
              <w:widowControl w:val="0"/>
              <w:shd w:val="clear" w:color="auto" w:fill="FFFFFF"/>
              <w:autoSpaceDE w:val="0"/>
              <w:autoSpaceDN w:val="0"/>
              <w:adjustRightInd w:val="0"/>
              <w:spacing w:after="0" w:line="240" w:lineRule="auto"/>
              <w:ind w:left="-61" w:right="-38" w:hanging="14"/>
              <w:jc w:val="center"/>
              <w:rPr>
                <w:rFonts w:cs="Arial"/>
                <w:szCs w:val="24"/>
              </w:rPr>
            </w:pPr>
            <w:r>
              <w:rPr>
                <w:rFonts w:cs="Arial"/>
                <w:szCs w:val="24"/>
              </w:rPr>
              <w:t>16.1.13</w:t>
            </w:r>
          </w:p>
        </w:tc>
        <w:tc>
          <w:tcPr>
            <w:tcW w:w="410" w:type="pct"/>
            <w:tcBorders>
              <w:top w:val="single" w:sz="4" w:space="0" w:color="000000"/>
              <w:left w:val="single" w:sz="4" w:space="0" w:color="000000"/>
              <w:bottom w:val="single" w:sz="4" w:space="0" w:color="000000"/>
              <w:right w:val="single" w:sz="4" w:space="0" w:color="000000"/>
            </w:tcBorders>
          </w:tcPr>
          <w:p w14:paraId="659E31EA" w14:textId="032EAEBE" w:rsidR="00594BA9" w:rsidRPr="00EF42FC" w:rsidRDefault="00594BA9" w:rsidP="00594BA9">
            <w:pPr>
              <w:spacing w:after="0" w:line="240" w:lineRule="auto"/>
              <w:ind w:left="-80" w:right="-94" w:hanging="14"/>
              <w:rPr>
                <w:rFonts w:eastAsia="Calibri" w:cs="Arial"/>
                <w:szCs w:val="24"/>
              </w:rPr>
            </w:pPr>
            <w:r w:rsidRPr="00EF42FC">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00EDD453" w14:textId="016A2CEB" w:rsidR="00594BA9" w:rsidRPr="0080010D" w:rsidRDefault="00594BA9" w:rsidP="00594BA9">
            <w:pPr>
              <w:spacing w:after="0"/>
              <w:rPr>
                <w:rFonts w:cs="Arial"/>
              </w:rPr>
            </w:pPr>
            <w:r>
              <w:rPr>
                <w:rFonts w:cs="Arial"/>
              </w:rPr>
              <w:t>A se substitui expresia „</w:t>
            </w:r>
            <w:r w:rsidRPr="00594BA9">
              <w:rPr>
                <w:rFonts w:cs="Arial"/>
                <w:i/>
                <w:iCs/>
              </w:rPr>
              <w:t xml:space="preserve">în </w:t>
            </w:r>
            <w:r w:rsidRPr="00397EBA">
              <w:rPr>
                <w:rFonts w:cs="Arial"/>
                <w:i/>
                <w:iCs/>
              </w:rPr>
              <w:t xml:space="preserve">clasa de </w:t>
            </w:r>
            <w:proofErr w:type="spellStart"/>
            <w:r w:rsidRPr="00397EBA">
              <w:rPr>
                <w:rFonts w:cs="Arial"/>
                <w:i/>
                <w:iCs/>
              </w:rPr>
              <w:t>reacţie</w:t>
            </w:r>
            <w:proofErr w:type="spellEnd"/>
            <w:r w:rsidRPr="00397EBA">
              <w:rPr>
                <w:rFonts w:cs="Arial"/>
                <w:i/>
                <w:iCs/>
              </w:rPr>
              <w:t xml:space="preserve"> la foc A2-s1 d0</w:t>
            </w:r>
            <w:r>
              <w:rPr>
                <w:rFonts w:cs="Arial"/>
              </w:rPr>
              <w:t>” cu sintagma „</w:t>
            </w:r>
            <w:r>
              <w:rPr>
                <w:rFonts w:cs="Arial"/>
                <w:b/>
                <w:bCs/>
                <w:i/>
                <w:iCs/>
              </w:rPr>
              <w:t>conform grupei de combustibilitate C</w:t>
            </w:r>
            <w:r w:rsidRPr="00397EBA">
              <w:rPr>
                <w:rFonts w:cs="Arial"/>
                <w:b/>
                <w:bCs/>
                <w:i/>
                <w:iCs/>
                <w:vertAlign w:val="subscript"/>
              </w:rPr>
              <w:t>0</w:t>
            </w:r>
            <w:r>
              <w:rPr>
                <w:rFonts w:cs="Arial"/>
              </w:rPr>
              <w:t>”</w:t>
            </w:r>
          </w:p>
        </w:tc>
        <w:tc>
          <w:tcPr>
            <w:tcW w:w="2035" w:type="pct"/>
            <w:tcBorders>
              <w:top w:val="single" w:sz="4" w:space="0" w:color="000000"/>
              <w:left w:val="single" w:sz="4" w:space="0" w:color="000000"/>
              <w:bottom w:val="single" w:sz="4" w:space="0" w:color="000000"/>
              <w:right w:val="single" w:sz="4" w:space="0" w:color="000000"/>
            </w:tcBorders>
          </w:tcPr>
          <w:p w14:paraId="3EF7205C" w14:textId="5C078DB3" w:rsidR="00594BA9" w:rsidRPr="0080010D" w:rsidRDefault="00594BA9" w:rsidP="00594BA9">
            <w:pPr>
              <w:contextualSpacing/>
              <w:jc w:val="both"/>
              <w:rPr>
                <w:rFonts w:cs="Arial"/>
              </w:rPr>
            </w:pPr>
            <w:r>
              <w:rPr>
                <w:rFonts w:cs="Arial"/>
              </w:rPr>
              <w:t>Ibidem nr. crt. 7</w:t>
            </w:r>
          </w:p>
        </w:tc>
        <w:tc>
          <w:tcPr>
            <w:tcW w:w="420" w:type="pct"/>
            <w:tcBorders>
              <w:top w:val="single" w:sz="4" w:space="0" w:color="000000"/>
              <w:left w:val="single" w:sz="4" w:space="0" w:color="000000"/>
              <w:bottom w:val="single" w:sz="4" w:space="0" w:color="000000"/>
              <w:right w:val="single" w:sz="4" w:space="0" w:color="000000"/>
            </w:tcBorders>
          </w:tcPr>
          <w:p w14:paraId="29A149B5" w14:textId="77777777" w:rsidR="00594BA9" w:rsidRPr="00EF42FC" w:rsidRDefault="00594BA9" w:rsidP="00594BA9">
            <w:pPr>
              <w:spacing w:after="0" w:line="240" w:lineRule="auto"/>
              <w:rPr>
                <w:rFonts w:eastAsia="Calibri" w:cs="Arial"/>
                <w:sz w:val="20"/>
                <w:szCs w:val="20"/>
              </w:rPr>
            </w:pPr>
          </w:p>
        </w:tc>
      </w:tr>
      <w:tr w:rsidR="00594BA9" w:rsidRPr="00EF42FC" w14:paraId="781300AC" w14:textId="77777777" w:rsidTr="00751C97">
        <w:tc>
          <w:tcPr>
            <w:tcW w:w="261" w:type="pct"/>
            <w:tcBorders>
              <w:top w:val="single" w:sz="4" w:space="0" w:color="000000"/>
              <w:left w:val="single" w:sz="4" w:space="0" w:color="000000"/>
              <w:bottom w:val="single" w:sz="4" w:space="0" w:color="000000"/>
              <w:right w:val="single" w:sz="4" w:space="0" w:color="000000"/>
            </w:tcBorders>
          </w:tcPr>
          <w:p w14:paraId="5F1CFD5B" w14:textId="77777777" w:rsidR="00594BA9" w:rsidRPr="00EF42FC" w:rsidRDefault="00594BA9" w:rsidP="00594BA9">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tcPr>
          <w:p w14:paraId="76308810" w14:textId="40EF3815" w:rsidR="00594BA9" w:rsidRDefault="00594BA9" w:rsidP="00594BA9">
            <w:pPr>
              <w:widowControl w:val="0"/>
              <w:shd w:val="clear" w:color="auto" w:fill="FFFFFF"/>
              <w:autoSpaceDE w:val="0"/>
              <w:autoSpaceDN w:val="0"/>
              <w:adjustRightInd w:val="0"/>
              <w:spacing w:after="0" w:line="240" w:lineRule="auto"/>
              <w:ind w:left="-61" w:right="-38" w:hanging="14"/>
              <w:jc w:val="center"/>
              <w:rPr>
                <w:rFonts w:cs="Arial"/>
                <w:szCs w:val="24"/>
              </w:rPr>
            </w:pPr>
            <w:r>
              <w:rPr>
                <w:rFonts w:cs="Arial"/>
                <w:szCs w:val="24"/>
              </w:rPr>
              <w:t>16.1.1</w:t>
            </w:r>
            <w:r>
              <w:rPr>
                <w:rFonts w:cs="Arial"/>
                <w:szCs w:val="24"/>
              </w:rPr>
              <w:t>4</w:t>
            </w:r>
          </w:p>
        </w:tc>
        <w:tc>
          <w:tcPr>
            <w:tcW w:w="410" w:type="pct"/>
            <w:tcBorders>
              <w:top w:val="single" w:sz="4" w:space="0" w:color="000000"/>
              <w:left w:val="single" w:sz="4" w:space="0" w:color="000000"/>
              <w:bottom w:val="single" w:sz="4" w:space="0" w:color="000000"/>
              <w:right w:val="single" w:sz="4" w:space="0" w:color="000000"/>
            </w:tcBorders>
          </w:tcPr>
          <w:p w14:paraId="3EE0BF41" w14:textId="43BB7A6E" w:rsidR="00594BA9" w:rsidRPr="00EF42FC" w:rsidRDefault="00594BA9" w:rsidP="00594BA9">
            <w:pPr>
              <w:spacing w:after="0" w:line="240" w:lineRule="auto"/>
              <w:ind w:left="-80" w:right="-94" w:hanging="14"/>
              <w:rPr>
                <w:rFonts w:eastAsia="Calibri" w:cs="Arial"/>
                <w:szCs w:val="24"/>
              </w:rPr>
            </w:pPr>
            <w:r w:rsidRPr="00EF42FC">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4F15FAC0" w14:textId="0A54A94E" w:rsidR="00594BA9" w:rsidRDefault="00594BA9" w:rsidP="00594BA9">
            <w:pPr>
              <w:spacing w:after="0"/>
              <w:rPr>
                <w:rFonts w:cs="Arial"/>
              </w:rPr>
            </w:pPr>
            <w:r>
              <w:rPr>
                <w:rFonts w:cs="Arial"/>
              </w:rPr>
              <w:t>A se substitui expresia „</w:t>
            </w:r>
            <w:r w:rsidRPr="00594BA9">
              <w:rPr>
                <w:rFonts w:cs="Arial"/>
                <w:i/>
                <w:iCs/>
              </w:rPr>
              <w:t xml:space="preserve">în </w:t>
            </w:r>
            <w:r w:rsidRPr="00397EBA">
              <w:rPr>
                <w:rFonts w:cs="Arial"/>
                <w:i/>
                <w:iCs/>
              </w:rPr>
              <w:t xml:space="preserve">clasa de </w:t>
            </w:r>
            <w:proofErr w:type="spellStart"/>
            <w:r w:rsidRPr="00397EBA">
              <w:rPr>
                <w:rFonts w:cs="Arial"/>
                <w:i/>
                <w:iCs/>
              </w:rPr>
              <w:t>reacţie</w:t>
            </w:r>
            <w:proofErr w:type="spellEnd"/>
            <w:r w:rsidRPr="00397EBA">
              <w:rPr>
                <w:rFonts w:cs="Arial"/>
                <w:i/>
                <w:iCs/>
              </w:rPr>
              <w:t xml:space="preserve"> la foc A2-s1 d0</w:t>
            </w:r>
            <w:r>
              <w:rPr>
                <w:rFonts w:cs="Arial"/>
              </w:rPr>
              <w:t>” cu sintagma „</w:t>
            </w:r>
            <w:r>
              <w:rPr>
                <w:rFonts w:cs="Arial"/>
                <w:b/>
                <w:bCs/>
                <w:i/>
                <w:iCs/>
              </w:rPr>
              <w:t>conform grupei de combustibilitate C</w:t>
            </w:r>
            <w:r w:rsidRPr="00397EBA">
              <w:rPr>
                <w:rFonts w:cs="Arial"/>
                <w:b/>
                <w:bCs/>
                <w:i/>
                <w:iCs/>
                <w:vertAlign w:val="subscript"/>
              </w:rPr>
              <w:t>0</w:t>
            </w:r>
            <w:r>
              <w:rPr>
                <w:rFonts w:cs="Arial"/>
              </w:rPr>
              <w:t>”</w:t>
            </w:r>
          </w:p>
        </w:tc>
        <w:tc>
          <w:tcPr>
            <w:tcW w:w="2035" w:type="pct"/>
            <w:tcBorders>
              <w:top w:val="single" w:sz="4" w:space="0" w:color="000000"/>
              <w:left w:val="single" w:sz="4" w:space="0" w:color="000000"/>
              <w:bottom w:val="single" w:sz="4" w:space="0" w:color="000000"/>
              <w:right w:val="single" w:sz="4" w:space="0" w:color="000000"/>
            </w:tcBorders>
          </w:tcPr>
          <w:p w14:paraId="1941854C" w14:textId="6CEFBE05" w:rsidR="00594BA9" w:rsidRDefault="00594BA9" w:rsidP="00594BA9">
            <w:pPr>
              <w:contextualSpacing/>
              <w:jc w:val="both"/>
              <w:rPr>
                <w:rFonts w:cs="Arial"/>
              </w:rPr>
            </w:pPr>
            <w:r>
              <w:rPr>
                <w:rFonts w:cs="Arial"/>
              </w:rPr>
              <w:t>Ibidem nr. crt. 7</w:t>
            </w:r>
          </w:p>
        </w:tc>
        <w:tc>
          <w:tcPr>
            <w:tcW w:w="420" w:type="pct"/>
            <w:tcBorders>
              <w:top w:val="single" w:sz="4" w:space="0" w:color="000000"/>
              <w:left w:val="single" w:sz="4" w:space="0" w:color="000000"/>
              <w:bottom w:val="single" w:sz="4" w:space="0" w:color="000000"/>
              <w:right w:val="single" w:sz="4" w:space="0" w:color="000000"/>
            </w:tcBorders>
          </w:tcPr>
          <w:p w14:paraId="01A37D85" w14:textId="77777777" w:rsidR="00594BA9" w:rsidRPr="00EF42FC" w:rsidRDefault="00594BA9" w:rsidP="00594BA9">
            <w:pPr>
              <w:spacing w:after="0" w:line="240" w:lineRule="auto"/>
              <w:rPr>
                <w:rFonts w:eastAsia="Calibri" w:cs="Arial"/>
                <w:sz w:val="20"/>
                <w:szCs w:val="20"/>
              </w:rPr>
            </w:pPr>
          </w:p>
        </w:tc>
      </w:tr>
      <w:tr w:rsidR="00594BA9" w:rsidRPr="00EF42FC" w14:paraId="79DD8ACE" w14:textId="77777777" w:rsidTr="00751C97">
        <w:tc>
          <w:tcPr>
            <w:tcW w:w="261" w:type="pct"/>
            <w:tcBorders>
              <w:top w:val="single" w:sz="4" w:space="0" w:color="000000"/>
              <w:left w:val="single" w:sz="4" w:space="0" w:color="000000"/>
              <w:bottom w:val="single" w:sz="4" w:space="0" w:color="000000"/>
              <w:right w:val="single" w:sz="4" w:space="0" w:color="000000"/>
            </w:tcBorders>
          </w:tcPr>
          <w:p w14:paraId="35DB37A0" w14:textId="77777777" w:rsidR="00594BA9" w:rsidRPr="00EF42FC" w:rsidRDefault="00594BA9" w:rsidP="00594BA9">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tcPr>
          <w:p w14:paraId="35F1D2DC" w14:textId="7ED01BA3" w:rsidR="00594BA9" w:rsidRDefault="00594BA9" w:rsidP="00594BA9">
            <w:pPr>
              <w:widowControl w:val="0"/>
              <w:shd w:val="clear" w:color="auto" w:fill="FFFFFF"/>
              <w:autoSpaceDE w:val="0"/>
              <w:autoSpaceDN w:val="0"/>
              <w:adjustRightInd w:val="0"/>
              <w:spacing w:after="0" w:line="240" w:lineRule="auto"/>
              <w:ind w:left="-61" w:right="-38" w:hanging="14"/>
              <w:jc w:val="center"/>
              <w:rPr>
                <w:rFonts w:cs="Arial"/>
                <w:szCs w:val="24"/>
              </w:rPr>
            </w:pPr>
            <w:r>
              <w:rPr>
                <w:rFonts w:cs="Arial"/>
                <w:szCs w:val="24"/>
              </w:rPr>
              <w:t>Fig. 16.1</w:t>
            </w:r>
          </w:p>
        </w:tc>
        <w:tc>
          <w:tcPr>
            <w:tcW w:w="410" w:type="pct"/>
            <w:tcBorders>
              <w:top w:val="single" w:sz="4" w:space="0" w:color="000000"/>
              <w:left w:val="single" w:sz="4" w:space="0" w:color="000000"/>
              <w:bottom w:val="single" w:sz="4" w:space="0" w:color="000000"/>
              <w:right w:val="single" w:sz="4" w:space="0" w:color="000000"/>
            </w:tcBorders>
          </w:tcPr>
          <w:p w14:paraId="193324AE" w14:textId="7DCDC900" w:rsidR="00594BA9" w:rsidRPr="00EF42FC" w:rsidRDefault="00594BA9" w:rsidP="00594BA9">
            <w:pPr>
              <w:spacing w:after="0" w:line="240" w:lineRule="auto"/>
              <w:ind w:left="-80" w:right="-94" w:hanging="14"/>
              <w:rPr>
                <w:rFonts w:eastAsia="Calibri" w:cs="Arial"/>
                <w:szCs w:val="24"/>
              </w:rPr>
            </w:pPr>
            <w:r w:rsidRPr="00EF42FC">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5A12EA1F" w14:textId="5271FA0D" w:rsidR="00594BA9" w:rsidRDefault="00594BA9" w:rsidP="00594BA9">
            <w:pPr>
              <w:spacing w:after="0"/>
              <w:rPr>
                <w:rFonts w:cs="Arial"/>
              </w:rPr>
            </w:pPr>
            <w:r>
              <w:rPr>
                <w:rFonts w:cs="Arial"/>
              </w:rPr>
              <w:t>A se substitui expresia „</w:t>
            </w:r>
            <w:r w:rsidRPr="00397EBA">
              <w:rPr>
                <w:rFonts w:cs="Arial"/>
                <w:i/>
                <w:iCs/>
              </w:rPr>
              <w:t xml:space="preserve">clasa de </w:t>
            </w:r>
            <w:proofErr w:type="spellStart"/>
            <w:r w:rsidRPr="00397EBA">
              <w:rPr>
                <w:rFonts w:cs="Arial"/>
                <w:i/>
                <w:iCs/>
              </w:rPr>
              <w:t>reacţie</w:t>
            </w:r>
            <w:proofErr w:type="spellEnd"/>
            <w:r w:rsidRPr="00397EBA">
              <w:rPr>
                <w:rFonts w:cs="Arial"/>
                <w:i/>
                <w:iCs/>
              </w:rPr>
              <w:t xml:space="preserve"> la foc</w:t>
            </w:r>
            <w:r>
              <w:rPr>
                <w:rFonts w:cs="Arial"/>
              </w:rPr>
              <w:t>” cu sintagma „</w:t>
            </w:r>
            <w:r>
              <w:rPr>
                <w:rFonts w:cs="Arial"/>
                <w:b/>
                <w:bCs/>
                <w:i/>
                <w:iCs/>
              </w:rPr>
              <w:t>grup</w:t>
            </w:r>
            <w:r>
              <w:rPr>
                <w:rFonts w:cs="Arial"/>
                <w:b/>
                <w:bCs/>
                <w:i/>
                <w:iCs/>
              </w:rPr>
              <w:t>a</w:t>
            </w:r>
            <w:r>
              <w:rPr>
                <w:rFonts w:cs="Arial"/>
                <w:b/>
                <w:bCs/>
                <w:i/>
                <w:iCs/>
              </w:rPr>
              <w:t xml:space="preserve"> de combustibilitate</w:t>
            </w:r>
            <w:r>
              <w:rPr>
                <w:rFonts w:cs="Arial"/>
              </w:rPr>
              <w:t>”</w:t>
            </w:r>
          </w:p>
        </w:tc>
        <w:tc>
          <w:tcPr>
            <w:tcW w:w="2035" w:type="pct"/>
            <w:tcBorders>
              <w:top w:val="single" w:sz="4" w:space="0" w:color="000000"/>
              <w:left w:val="single" w:sz="4" w:space="0" w:color="000000"/>
              <w:bottom w:val="single" w:sz="4" w:space="0" w:color="000000"/>
              <w:right w:val="single" w:sz="4" w:space="0" w:color="000000"/>
            </w:tcBorders>
          </w:tcPr>
          <w:p w14:paraId="22AC88F8" w14:textId="056CA8BF" w:rsidR="00594BA9" w:rsidRDefault="00594BA9" w:rsidP="00594BA9">
            <w:pPr>
              <w:contextualSpacing/>
              <w:jc w:val="both"/>
              <w:rPr>
                <w:rFonts w:cs="Arial"/>
              </w:rPr>
            </w:pPr>
            <w:r>
              <w:rPr>
                <w:rFonts w:cs="Arial"/>
              </w:rPr>
              <w:t>Ibidem nr. crt. 7</w:t>
            </w:r>
          </w:p>
        </w:tc>
        <w:tc>
          <w:tcPr>
            <w:tcW w:w="420" w:type="pct"/>
            <w:tcBorders>
              <w:top w:val="single" w:sz="4" w:space="0" w:color="000000"/>
              <w:left w:val="single" w:sz="4" w:space="0" w:color="000000"/>
              <w:bottom w:val="single" w:sz="4" w:space="0" w:color="000000"/>
              <w:right w:val="single" w:sz="4" w:space="0" w:color="000000"/>
            </w:tcBorders>
          </w:tcPr>
          <w:p w14:paraId="500F668A" w14:textId="77777777" w:rsidR="00594BA9" w:rsidRPr="00EF42FC" w:rsidRDefault="00594BA9" w:rsidP="00594BA9">
            <w:pPr>
              <w:spacing w:after="0" w:line="240" w:lineRule="auto"/>
              <w:rPr>
                <w:rFonts w:eastAsia="Calibri" w:cs="Arial"/>
                <w:sz w:val="20"/>
                <w:szCs w:val="20"/>
              </w:rPr>
            </w:pPr>
          </w:p>
        </w:tc>
      </w:tr>
      <w:tr w:rsidR="00594BA9" w:rsidRPr="00EF42FC" w14:paraId="468A28C5" w14:textId="77777777" w:rsidTr="00751C97">
        <w:tc>
          <w:tcPr>
            <w:tcW w:w="261" w:type="pct"/>
            <w:tcBorders>
              <w:top w:val="single" w:sz="4" w:space="0" w:color="000000"/>
              <w:left w:val="single" w:sz="4" w:space="0" w:color="000000"/>
              <w:bottom w:val="single" w:sz="4" w:space="0" w:color="000000"/>
              <w:right w:val="single" w:sz="4" w:space="0" w:color="000000"/>
            </w:tcBorders>
          </w:tcPr>
          <w:p w14:paraId="1487DB09" w14:textId="77777777" w:rsidR="00594BA9" w:rsidRPr="00EF42FC" w:rsidRDefault="00594BA9" w:rsidP="00594BA9">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tcPr>
          <w:p w14:paraId="3AEA9D65" w14:textId="115579D4" w:rsidR="00594BA9" w:rsidRDefault="00594BA9" w:rsidP="00594BA9">
            <w:pPr>
              <w:widowControl w:val="0"/>
              <w:shd w:val="clear" w:color="auto" w:fill="FFFFFF"/>
              <w:autoSpaceDE w:val="0"/>
              <w:autoSpaceDN w:val="0"/>
              <w:adjustRightInd w:val="0"/>
              <w:spacing w:after="0" w:line="240" w:lineRule="auto"/>
              <w:ind w:left="-61" w:right="-38" w:hanging="14"/>
              <w:jc w:val="center"/>
              <w:rPr>
                <w:rFonts w:cs="Arial"/>
                <w:szCs w:val="24"/>
              </w:rPr>
            </w:pPr>
            <w:r>
              <w:rPr>
                <w:rFonts w:cs="Arial"/>
                <w:szCs w:val="24"/>
              </w:rPr>
              <w:t>16.2.2</w:t>
            </w:r>
          </w:p>
        </w:tc>
        <w:tc>
          <w:tcPr>
            <w:tcW w:w="410" w:type="pct"/>
            <w:tcBorders>
              <w:top w:val="single" w:sz="4" w:space="0" w:color="000000"/>
              <w:left w:val="single" w:sz="4" w:space="0" w:color="000000"/>
              <w:bottom w:val="single" w:sz="4" w:space="0" w:color="000000"/>
              <w:right w:val="single" w:sz="4" w:space="0" w:color="000000"/>
            </w:tcBorders>
          </w:tcPr>
          <w:p w14:paraId="55A4FD36" w14:textId="6CFBA356" w:rsidR="00594BA9" w:rsidRPr="00EF42FC" w:rsidRDefault="00594BA9" w:rsidP="00594BA9">
            <w:pPr>
              <w:spacing w:after="0" w:line="240" w:lineRule="auto"/>
              <w:ind w:left="-80" w:right="-94" w:hanging="14"/>
              <w:rPr>
                <w:rFonts w:eastAsia="Calibri" w:cs="Arial"/>
                <w:szCs w:val="24"/>
              </w:rPr>
            </w:pPr>
            <w:r w:rsidRPr="00EF42FC">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3592F26F" w14:textId="1D8F6F1A" w:rsidR="00594BA9" w:rsidRPr="0080010D" w:rsidRDefault="00594BA9" w:rsidP="00594BA9">
            <w:pPr>
              <w:spacing w:after="0"/>
              <w:rPr>
                <w:rFonts w:cs="Arial"/>
              </w:rPr>
            </w:pPr>
            <w:r>
              <w:rPr>
                <w:rFonts w:cs="Arial"/>
              </w:rPr>
              <w:t>A se substitui expresia „</w:t>
            </w:r>
            <w:r w:rsidRPr="00594BA9">
              <w:rPr>
                <w:rFonts w:cs="Arial"/>
                <w:i/>
                <w:iCs/>
              </w:rPr>
              <w:t>în</w:t>
            </w:r>
            <w:r>
              <w:rPr>
                <w:rFonts w:cs="Arial"/>
              </w:rPr>
              <w:t xml:space="preserve"> </w:t>
            </w:r>
            <w:r w:rsidRPr="00397EBA">
              <w:rPr>
                <w:rFonts w:cs="Arial"/>
                <w:i/>
                <w:iCs/>
              </w:rPr>
              <w:t xml:space="preserve">clasa de </w:t>
            </w:r>
            <w:proofErr w:type="spellStart"/>
            <w:r w:rsidRPr="00397EBA">
              <w:rPr>
                <w:rFonts w:cs="Arial"/>
                <w:i/>
                <w:iCs/>
              </w:rPr>
              <w:t>reacţie</w:t>
            </w:r>
            <w:proofErr w:type="spellEnd"/>
            <w:r w:rsidRPr="00397EBA">
              <w:rPr>
                <w:rFonts w:cs="Arial"/>
                <w:i/>
                <w:iCs/>
              </w:rPr>
              <w:t xml:space="preserve"> la foc A2-s1 d0</w:t>
            </w:r>
            <w:r>
              <w:rPr>
                <w:rFonts w:cs="Arial"/>
              </w:rPr>
              <w:t>” cu sintagma „</w:t>
            </w:r>
            <w:r>
              <w:rPr>
                <w:rFonts w:cs="Arial"/>
                <w:b/>
                <w:bCs/>
                <w:i/>
                <w:iCs/>
              </w:rPr>
              <w:t>conform grupei de combustibilitate C</w:t>
            </w:r>
            <w:r w:rsidRPr="00397EBA">
              <w:rPr>
                <w:rFonts w:cs="Arial"/>
                <w:b/>
                <w:bCs/>
                <w:i/>
                <w:iCs/>
                <w:vertAlign w:val="subscript"/>
              </w:rPr>
              <w:t>0</w:t>
            </w:r>
            <w:r>
              <w:rPr>
                <w:rFonts w:cs="Arial"/>
              </w:rPr>
              <w:t>”</w:t>
            </w:r>
          </w:p>
        </w:tc>
        <w:tc>
          <w:tcPr>
            <w:tcW w:w="2035" w:type="pct"/>
            <w:tcBorders>
              <w:top w:val="single" w:sz="4" w:space="0" w:color="000000"/>
              <w:left w:val="single" w:sz="4" w:space="0" w:color="000000"/>
              <w:bottom w:val="single" w:sz="4" w:space="0" w:color="000000"/>
              <w:right w:val="single" w:sz="4" w:space="0" w:color="000000"/>
            </w:tcBorders>
          </w:tcPr>
          <w:p w14:paraId="616B62CA" w14:textId="7E04CE94" w:rsidR="00594BA9" w:rsidRPr="0080010D" w:rsidRDefault="00594BA9" w:rsidP="00594BA9">
            <w:pPr>
              <w:contextualSpacing/>
              <w:jc w:val="both"/>
              <w:rPr>
                <w:rFonts w:cs="Arial"/>
              </w:rPr>
            </w:pPr>
            <w:r>
              <w:rPr>
                <w:rFonts w:cs="Arial"/>
              </w:rPr>
              <w:t>Ibidem nr. crt. 7</w:t>
            </w:r>
          </w:p>
        </w:tc>
        <w:tc>
          <w:tcPr>
            <w:tcW w:w="420" w:type="pct"/>
            <w:tcBorders>
              <w:top w:val="single" w:sz="4" w:space="0" w:color="000000"/>
              <w:left w:val="single" w:sz="4" w:space="0" w:color="000000"/>
              <w:bottom w:val="single" w:sz="4" w:space="0" w:color="000000"/>
              <w:right w:val="single" w:sz="4" w:space="0" w:color="000000"/>
            </w:tcBorders>
          </w:tcPr>
          <w:p w14:paraId="6FB9D0BF" w14:textId="77777777" w:rsidR="00594BA9" w:rsidRPr="00EF42FC" w:rsidRDefault="00594BA9" w:rsidP="00594BA9">
            <w:pPr>
              <w:spacing w:after="0" w:line="240" w:lineRule="auto"/>
              <w:rPr>
                <w:rFonts w:eastAsia="Calibri" w:cs="Arial"/>
                <w:sz w:val="20"/>
                <w:szCs w:val="20"/>
              </w:rPr>
            </w:pPr>
          </w:p>
        </w:tc>
      </w:tr>
      <w:tr w:rsidR="00594BA9" w:rsidRPr="00EF42FC" w14:paraId="5D16635D" w14:textId="77777777" w:rsidTr="00751C97">
        <w:tc>
          <w:tcPr>
            <w:tcW w:w="261" w:type="pct"/>
            <w:tcBorders>
              <w:top w:val="single" w:sz="4" w:space="0" w:color="000000"/>
              <w:left w:val="single" w:sz="4" w:space="0" w:color="000000"/>
              <w:bottom w:val="single" w:sz="4" w:space="0" w:color="000000"/>
              <w:right w:val="single" w:sz="4" w:space="0" w:color="000000"/>
            </w:tcBorders>
          </w:tcPr>
          <w:p w14:paraId="58DF2F9A" w14:textId="77777777" w:rsidR="00594BA9" w:rsidRPr="00EF42FC" w:rsidRDefault="00594BA9" w:rsidP="00594BA9">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tcPr>
          <w:p w14:paraId="05320549" w14:textId="64F1D35F" w:rsidR="00594BA9" w:rsidRDefault="00594BA9" w:rsidP="00594BA9">
            <w:pPr>
              <w:widowControl w:val="0"/>
              <w:shd w:val="clear" w:color="auto" w:fill="FFFFFF"/>
              <w:autoSpaceDE w:val="0"/>
              <w:autoSpaceDN w:val="0"/>
              <w:adjustRightInd w:val="0"/>
              <w:spacing w:after="0" w:line="240" w:lineRule="auto"/>
              <w:ind w:left="-61" w:right="-38" w:hanging="14"/>
              <w:jc w:val="center"/>
              <w:rPr>
                <w:rFonts w:cs="Arial"/>
                <w:szCs w:val="24"/>
              </w:rPr>
            </w:pPr>
            <w:r>
              <w:rPr>
                <w:rFonts w:cs="Arial"/>
                <w:szCs w:val="24"/>
              </w:rPr>
              <w:t>16.2.</w:t>
            </w:r>
            <w:r>
              <w:rPr>
                <w:rFonts w:cs="Arial"/>
                <w:szCs w:val="24"/>
              </w:rPr>
              <w:t>3</w:t>
            </w:r>
          </w:p>
        </w:tc>
        <w:tc>
          <w:tcPr>
            <w:tcW w:w="410" w:type="pct"/>
            <w:tcBorders>
              <w:top w:val="single" w:sz="4" w:space="0" w:color="000000"/>
              <w:left w:val="single" w:sz="4" w:space="0" w:color="000000"/>
              <w:bottom w:val="single" w:sz="4" w:space="0" w:color="000000"/>
              <w:right w:val="single" w:sz="4" w:space="0" w:color="000000"/>
            </w:tcBorders>
          </w:tcPr>
          <w:p w14:paraId="6B0168EE" w14:textId="3E42785C" w:rsidR="00594BA9" w:rsidRPr="00EF42FC" w:rsidRDefault="00594BA9" w:rsidP="00594BA9">
            <w:pPr>
              <w:spacing w:after="0" w:line="240" w:lineRule="auto"/>
              <w:ind w:left="-80" w:right="-94" w:hanging="14"/>
              <w:rPr>
                <w:rFonts w:eastAsia="Calibri" w:cs="Arial"/>
                <w:szCs w:val="24"/>
              </w:rPr>
            </w:pPr>
            <w:r w:rsidRPr="00EF42FC">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30236122" w14:textId="17103233" w:rsidR="00594BA9" w:rsidRDefault="00594BA9" w:rsidP="00594BA9">
            <w:pPr>
              <w:spacing w:after="0"/>
              <w:rPr>
                <w:rFonts w:cs="Arial"/>
              </w:rPr>
            </w:pPr>
            <w:r>
              <w:rPr>
                <w:rFonts w:cs="Arial"/>
              </w:rPr>
              <w:t>A se substitui expresia „</w:t>
            </w:r>
            <w:r w:rsidRPr="00397EBA">
              <w:rPr>
                <w:rFonts w:cs="Arial"/>
                <w:i/>
                <w:iCs/>
              </w:rPr>
              <w:t xml:space="preserve">clasa de </w:t>
            </w:r>
            <w:proofErr w:type="spellStart"/>
            <w:r w:rsidRPr="00397EBA">
              <w:rPr>
                <w:rFonts w:cs="Arial"/>
                <w:i/>
                <w:iCs/>
              </w:rPr>
              <w:t>reacţie</w:t>
            </w:r>
            <w:proofErr w:type="spellEnd"/>
            <w:r w:rsidRPr="00397EBA">
              <w:rPr>
                <w:rFonts w:cs="Arial"/>
                <w:i/>
                <w:iCs/>
              </w:rPr>
              <w:t xml:space="preserve"> la foc A2-s1 d0</w:t>
            </w:r>
            <w:r>
              <w:rPr>
                <w:rFonts w:cs="Arial"/>
              </w:rPr>
              <w:t>” cu sintagma „</w:t>
            </w:r>
            <w:r>
              <w:rPr>
                <w:rFonts w:cs="Arial"/>
                <w:b/>
                <w:bCs/>
                <w:i/>
                <w:iCs/>
              </w:rPr>
              <w:t>conform grupei de combustibilitate C</w:t>
            </w:r>
            <w:r w:rsidRPr="00397EBA">
              <w:rPr>
                <w:rFonts w:cs="Arial"/>
                <w:b/>
                <w:bCs/>
                <w:i/>
                <w:iCs/>
                <w:vertAlign w:val="subscript"/>
              </w:rPr>
              <w:t>0</w:t>
            </w:r>
            <w:r>
              <w:rPr>
                <w:rFonts w:cs="Arial"/>
              </w:rPr>
              <w:t>”</w:t>
            </w:r>
          </w:p>
        </w:tc>
        <w:tc>
          <w:tcPr>
            <w:tcW w:w="2035" w:type="pct"/>
            <w:tcBorders>
              <w:top w:val="single" w:sz="4" w:space="0" w:color="000000"/>
              <w:left w:val="single" w:sz="4" w:space="0" w:color="000000"/>
              <w:bottom w:val="single" w:sz="4" w:space="0" w:color="000000"/>
              <w:right w:val="single" w:sz="4" w:space="0" w:color="000000"/>
            </w:tcBorders>
          </w:tcPr>
          <w:p w14:paraId="585213C4" w14:textId="63627AA9" w:rsidR="00594BA9" w:rsidRDefault="00594BA9" w:rsidP="00594BA9">
            <w:pPr>
              <w:contextualSpacing/>
              <w:jc w:val="both"/>
              <w:rPr>
                <w:rFonts w:cs="Arial"/>
              </w:rPr>
            </w:pPr>
            <w:r>
              <w:rPr>
                <w:rFonts w:cs="Arial"/>
              </w:rPr>
              <w:t>Ibidem nr. crt. 7</w:t>
            </w:r>
          </w:p>
        </w:tc>
        <w:tc>
          <w:tcPr>
            <w:tcW w:w="420" w:type="pct"/>
            <w:tcBorders>
              <w:top w:val="single" w:sz="4" w:space="0" w:color="000000"/>
              <w:left w:val="single" w:sz="4" w:space="0" w:color="000000"/>
              <w:bottom w:val="single" w:sz="4" w:space="0" w:color="000000"/>
              <w:right w:val="single" w:sz="4" w:space="0" w:color="000000"/>
            </w:tcBorders>
          </w:tcPr>
          <w:p w14:paraId="5FCD2BCE" w14:textId="77777777" w:rsidR="00594BA9" w:rsidRPr="00EF42FC" w:rsidRDefault="00594BA9" w:rsidP="00594BA9">
            <w:pPr>
              <w:spacing w:after="0" w:line="240" w:lineRule="auto"/>
              <w:rPr>
                <w:rFonts w:eastAsia="Calibri" w:cs="Arial"/>
                <w:sz w:val="20"/>
                <w:szCs w:val="20"/>
              </w:rPr>
            </w:pPr>
          </w:p>
        </w:tc>
      </w:tr>
      <w:tr w:rsidR="00594BA9" w:rsidRPr="00EF42FC" w14:paraId="39D89653" w14:textId="77777777" w:rsidTr="00751C97">
        <w:tc>
          <w:tcPr>
            <w:tcW w:w="261" w:type="pct"/>
            <w:tcBorders>
              <w:top w:val="single" w:sz="4" w:space="0" w:color="000000"/>
              <w:left w:val="single" w:sz="4" w:space="0" w:color="000000"/>
              <w:bottom w:val="single" w:sz="4" w:space="0" w:color="000000"/>
              <w:right w:val="single" w:sz="4" w:space="0" w:color="000000"/>
            </w:tcBorders>
          </w:tcPr>
          <w:p w14:paraId="13DBF1CE" w14:textId="77777777" w:rsidR="00594BA9" w:rsidRPr="00EF42FC" w:rsidRDefault="00594BA9" w:rsidP="00594BA9">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tcPr>
          <w:p w14:paraId="77D82813" w14:textId="0C21D4E2" w:rsidR="00594BA9" w:rsidRDefault="00594BA9" w:rsidP="00594BA9">
            <w:pPr>
              <w:widowControl w:val="0"/>
              <w:shd w:val="clear" w:color="auto" w:fill="FFFFFF"/>
              <w:autoSpaceDE w:val="0"/>
              <w:autoSpaceDN w:val="0"/>
              <w:adjustRightInd w:val="0"/>
              <w:spacing w:after="0" w:line="240" w:lineRule="auto"/>
              <w:ind w:left="-61" w:right="-38" w:hanging="14"/>
              <w:jc w:val="center"/>
              <w:rPr>
                <w:rFonts w:cs="Arial"/>
                <w:szCs w:val="24"/>
              </w:rPr>
            </w:pPr>
            <w:r>
              <w:rPr>
                <w:rFonts w:cs="Arial"/>
                <w:szCs w:val="24"/>
              </w:rPr>
              <w:t>16.2.</w:t>
            </w:r>
            <w:r>
              <w:rPr>
                <w:rFonts w:cs="Arial"/>
                <w:szCs w:val="24"/>
              </w:rPr>
              <w:t>11</w:t>
            </w:r>
          </w:p>
        </w:tc>
        <w:tc>
          <w:tcPr>
            <w:tcW w:w="410" w:type="pct"/>
            <w:tcBorders>
              <w:top w:val="single" w:sz="4" w:space="0" w:color="000000"/>
              <w:left w:val="single" w:sz="4" w:space="0" w:color="000000"/>
              <w:bottom w:val="single" w:sz="4" w:space="0" w:color="000000"/>
              <w:right w:val="single" w:sz="4" w:space="0" w:color="000000"/>
            </w:tcBorders>
          </w:tcPr>
          <w:p w14:paraId="3A86629B" w14:textId="1C4FB611" w:rsidR="00594BA9" w:rsidRPr="00EF42FC" w:rsidRDefault="00594BA9" w:rsidP="00594BA9">
            <w:pPr>
              <w:spacing w:after="0" w:line="240" w:lineRule="auto"/>
              <w:ind w:left="-80" w:right="-94" w:hanging="14"/>
              <w:rPr>
                <w:rFonts w:eastAsia="Calibri" w:cs="Arial"/>
                <w:szCs w:val="24"/>
              </w:rPr>
            </w:pPr>
            <w:r w:rsidRPr="00EF42FC">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508197F8" w14:textId="10A7BAD0" w:rsidR="00594BA9" w:rsidRDefault="00594BA9" w:rsidP="00594BA9">
            <w:pPr>
              <w:spacing w:after="0"/>
              <w:rPr>
                <w:rFonts w:cs="Arial"/>
              </w:rPr>
            </w:pPr>
            <w:r>
              <w:rPr>
                <w:rFonts w:cs="Arial"/>
              </w:rPr>
              <w:t>A se substitui expresia „</w:t>
            </w:r>
            <w:r w:rsidRPr="00594BA9">
              <w:rPr>
                <w:rFonts w:cs="Arial"/>
                <w:i/>
                <w:iCs/>
              </w:rPr>
              <w:t xml:space="preserve">clasa de </w:t>
            </w:r>
            <w:proofErr w:type="spellStart"/>
            <w:r w:rsidRPr="00594BA9">
              <w:rPr>
                <w:rFonts w:cs="Arial"/>
                <w:i/>
                <w:iCs/>
              </w:rPr>
              <w:t>reacţie</w:t>
            </w:r>
            <w:proofErr w:type="spellEnd"/>
            <w:r w:rsidRPr="00594BA9">
              <w:rPr>
                <w:rFonts w:cs="Arial"/>
                <w:i/>
                <w:iCs/>
              </w:rPr>
              <w:t xml:space="preserve"> la foc B-s1d0</w:t>
            </w:r>
            <w:r>
              <w:rPr>
                <w:rFonts w:cs="Arial"/>
              </w:rPr>
              <w:t>” cu sintagma „</w:t>
            </w:r>
            <w:r>
              <w:rPr>
                <w:rFonts w:cs="Arial"/>
                <w:b/>
                <w:bCs/>
                <w:i/>
                <w:iCs/>
              </w:rPr>
              <w:t>conform grupei de combustibilitate C</w:t>
            </w:r>
            <w:r>
              <w:rPr>
                <w:rFonts w:cs="Arial"/>
                <w:b/>
                <w:bCs/>
                <w:i/>
                <w:iCs/>
                <w:vertAlign w:val="subscript"/>
              </w:rPr>
              <w:t>1</w:t>
            </w:r>
            <w:r>
              <w:rPr>
                <w:rFonts w:cs="Arial"/>
              </w:rPr>
              <w:t>”</w:t>
            </w:r>
          </w:p>
        </w:tc>
        <w:tc>
          <w:tcPr>
            <w:tcW w:w="2035" w:type="pct"/>
            <w:tcBorders>
              <w:top w:val="single" w:sz="4" w:space="0" w:color="000000"/>
              <w:left w:val="single" w:sz="4" w:space="0" w:color="000000"/>
              <w:bottom w:val="single" w:sz="4" w:space="0" w:color="000000"/>
              <w:right w:val="single" w:sz="4" w:space="0" w:color="000000"/>
            </w:tcBorders>
          </w:tcPr>
          <w:p w14:paraId="356E392E" w14:textId="77777777" w:rsidR="00594BA9" w:rsidRPr="00594BA9" w:rsidRDefault="00594BA9" w:rsidP="00594BA9">
            <w:pPr>
              <w:shd w:val="clear" w:color="auto" w:fill="FFFFFF"/>
              <w:contextualSpacing/>
              <w:jc w:val="both"/>
              <w:rPr>
                <w:rFonts w:cs="Arial"/>
                <w:i/>
                <w:iCs/>
              </w:rPr>
            </w:pPr>
            <w:r w:rsidRPr="0080010D">
              <w:rPr>
                <w:rFonts w:cs="Arial"/>
              </w:rPr>
              <w:t xml:space="preserve">Conform prevederilor </w:t>
            </w:r>
            <w:r>
              <w:rPr>
                <w:rFonts w:cs="Arial"/>
              </w:rPr>
              <w:t xml:space="preserve">pct. 5.10 din NCM E.03.02, </w:t>
            </w:r>
            <w:r w:rsidRPr="00594BA9">
              <w:rPr>
                <w:rFonts w:cs="Arial"/>
                <w:i/>
                <w:iCs/>
              </w:rPr>
              <w:t xml:space="preserve">Materialele de </w:t>
            </w:r>
            <w:proofErr w:type="spellStart"/>
            <w:r w:rsidRPr="00594BA9">
              <w:rPr>
                <w:rFonts w:cs="Arial"/>
                <w:i/>
                <w:iCs/>
              </w:rPr>
              <w:t>construcţie</w:t>
            </w:r>
            <w:proofErr w:type="spellEnd"/>
            <w:r w:rsidRPr="00594BA9">
              <w:rPr>
                <w:rFonts w:cs="Arial"/>
                <w:i/>
                <w:iCs/>
              </w:rPr>
              <w:t xml:space="preserve"> combustibile se clasifică în patru grupe:</w:t>
            </w:r>
            <w:r>
              <w:rPr>
                <w:rFonts w:cs="Arial"/>
                <w:i/>
                <w:iCs/>
              </w:rPr>
              <w:t xml:space="preserve"> </w:t>
            </w:r>
            <w:r w:rsidRPr="00594BA9">
              <w:rPr>
                <w:rFonts w:cs="Arial"/>
                <w:i/>
                <w:iCs/>
              </w:rPr>
              <w:t>С1 (slab combustibile);</w:t>
            </w:r>
          </w:p>
          <w:p w14:paraId="60946875" w14:textId="77777777" w:rsidR="00594BA9" w:rsidRPr="00594BA9" w:rsidRDefault="00594BA9" w:rsidP="00594BA9">
            <w:pPr>
              <w:shd w:val="clear" w:color="auto" w:fill="FFFFFF"/>
              <w:contextualSpacing/>
              <w:jc w:val="both"/>
              <w:rPr>
                <w:rFonts w:cs="Arial"/>
                <w:i/>
                <w:iCs/>
              </w:rPr>
            </w:pPr>
            <w:r w:rsidRPr="00594BA9">
              <w:rPr>
                <w:rFonts w:cs="Arial"/>
                <w:i/>
                <w:iCs/>
              </w:rPr>
              <w:t>С2 (moderat combustibile);</w:t>
            </w:r>
          </w:p>
          <w:p w14:paraId="38784D09" w14:textId="77777777" w:rsidR="00594BA9" w:rsidRPr="00594BA9" w:rsidRDefault="00594BA9" w:rsidP="00594BA9">
            <w:pPr>
              <w:shd w:val="clear" w:color="auto" w:fill="FFFFFF"/>
              <w:contextualSpacing/>
              <w:jc w:val="both"/>
              <w:rPr>
                <w:rFonts w:cs="Arial"/>
                <w:i/>
                <w:iCs/>
              </w:rPr>
            </w:pPr>
            <w:r w:rsidRPr="00594BA9">
              <w:rPr>
                <w:rFonts w:cs="Arial"/>
                <w:i/>
                <w:iCs/>
              </w:rPr>
              <w:t>С3 (normal combustibile);</w:t>
            </w:r>
          </w:p>
          <w:p w14:paraId="1DEC7DB4" w14:textId="7A3027C2" w:rsidR="00594BA9" w:rsidRDefault="00594BA9" w:rsidP="00594BA9">
            <w:pPr>
              <w:shd w:val="clear" w:color="auto" w:fill="FFFFFF"/>
              <w:contextualSpacing/>
              <w:jc w:val="both"/>
              <w:rPr>
                <w:rFonts w:cs="Arial"/>
              </w:rPr>
            </w:pPr>
            <w:r w:rsidRPr="00594BA9">
              <w:rPr>
                <w:rFonts w:cs="Arial"/>
                <w:i/>
                <w:iCs/>
              </w:rPr>
              <w:t>С4 (puternic combustibile)</w:t>
            </w:r>
            <w:r>
              <w:rPr>
                <w:rFonts w:cs="Arial"/>
                <w:i/>
                <w:iCs/>
              </w:rPr>
              <w:t>.</w:t>
            </w:r>
          </w:p>
          <w:p w14:paraId="16AFDFC3" w14:textId="07E6752B" w:rsidR="00594BA9" w:rsidRDefault="00594BA9" w:rsidP="00594BA9">
            <w:pPr>
              <w:contextualSpacing/>
              <w:jc w:val="both"/>
              <w:rPr>
                <w:rFonts w:cs="Arial"/>
              </w:rPr>
            </w:pPr>
            <w:r>
              <w:rPr>
                <w:rFonts w:cs="Arial"/>
              </w:rPr>
              <w:t xml:space="preserve">Având în vedere </w:t>
            </w:r>
            <w:r>
              <w:rPr>
                <w:rFonts w:cs="Arial"/>
              </w:rPr>
              <w:t xml:space="preserve">clasificarea normativă </w:t>
            </w:r>
            <w:r>
              <w:rPr>
                <w:rFonts w:cs="Arial"/>
              </w:rPr>
              <w:t>a materialel</w:t>
            </w:r>
            <w:r>
              <w:rPr>
                <w:rFonts w:cs="Arial"/>
              </w:rPr>
              <w:t>or</w:t>
            </w:r>
            <w:r>
              <w:rPr>
                <w:rFonts w:cs="Arial"/>
              </w:rPr>
              <w:t xml:space="preserve"> de construcții, se reclamă adaptare</w:t>
            </w:r>
            <w:r>
              <w:rPr>
                <w:rFonts w:cs="Arial"/>
              </w:rPr>
              <w:t>a</w:t>
            </w:r>
            <w:r>
              <w:rPr>
                <w:rFonts w:cs="Arial"/>
              </w:rPr>
              <w:t xml:space="preserve"> textului la norma prenotată</w:t>
            </w:r>
          </w:p>
        </w:tc>
        <w:tc>
          <w:tcPr>
            <w:tcW w:w="420" w:type="pct"/>
            <w:tcBorders>
              <w:top w:val="single" w:sz="4" w:space="0" w:color="000000"/>
              <w:left w:val="single" w:sz="4" w:space="0" w:color="000000"/>
              <w:bottom w:val="single" w:sz="4" w:space="0" w:color="000000"/>
              <w:right w:val="single" w:sz="4" w:space="0" w:color="000000"/>
            </w:tcBorders>
          </w:tcPr>
          <w:p w14:paraId="7427E712" w14:textId="77777777" w:rsidR="00594BA9" w:rsidRPr="00EF42FC" w:rsidRDefault="00594BA9" w:rsidP="00594BA9">
            <w:pPr>
              <w:spacing w:after="0" w:line="240" w:lineRule="auto"/>
              <w:rPr>
                <w:rFonts w:eastAsia="Calibri" w:cs="Arial"/>
                <w:sz w:val="20"/>
                <w:szCs w:val="20"/>
              </w:rPr>
            </w:pPr>
          </w:p>
        </w:tc>
      </w:tr>
      <w:tr w:rsidR="00594BA9" w:rsidRPr="00EF42FC" w14:paraId="060BB408" w14:textId="77777777" w:rsidTr="00751C97">
        <w:tc>
          <w:tcPr>
            <w:tcW w:w="261" w:type="pct"/>
            <w:tcBorders>
              <w:top w:val="single" w:sz="4" w:space="0" w:color="000000"/>
              <w:left w:val="single" w:sz="4" w:space="0" w:color="000000"/>
              <w:bottom w:val="single" w:sz="4" w:space="0" w:color="000000"/>
              <w:right w:val="single" w:sz="4" w:space="0" w:color="000000"/>
            </w:tcBorders>
          </w:tcPr>
          <w:p w14:paraId="761107BA" w14:textId="77777777" w:rsidR="00594BA9" w:rsidRPr="00EF42FC" w:rsidRDefault="00594BA9" w:rsidP="00594BA9">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tcPr>
          <w:p w14:paraId="06625160" w14:textId="057C1D5F" w:rsidR="00594BA9" w:rsidRDefault="00594BA9" w:rsidP="00594BA9">
            <w:pPr>
              <w:spacing w:after="0" w:line="240" w:lineRule="auto"/>
              <w:ind w:left="-61" w:right="-38" w:hanging="14"/>
              <w:jc w:val="center"/>
              <w:rPr>
                <w:rFonts w:eastAsia="Calibri" w:cs="Arial"/>
                <w:szCs w:val="24"/>
              </w:rPr>
            </w:pPr>
            <w:r w:rsidRPr="003D3FA1">
              <w:rPr>
                <w:rFonts w:eastAsia="Calibri" w:cs="Arial"/>
                <w:szCs w:val="24"/>
              </w:rPr>
              <w:t>GENERAL</w:t>
            </w:r>
          </w:p>
        </w:tc>
        <w:tc>
          <w:tcPr>
            <w:tcW w:w="410" w:type="pct"/>
            <w:tcBorders>
              <w:top w:val="single" w:sz="4" w:space="0" w:color="000000"/>
              <w:left w:val="single" w:sz="4" w:space="0" w:color="000000"/>
              <w:bottom w:val="single" w:sz="4" w:space="0" w:color="000000"/>
              <w:right w:val="single" w:sz="4" w:space="0" w:color="000000"/>
            </w:tcBorders>
          </w:tcPr>
          <w:p w14:paraId="04D88B72" w14:textId="2421C8D6" w:rsidR="00594BA9" w:rsidRPr="00DC7BFA" w:rsidRDefault="00594BA9" w:rsidP="00594BA9">
            <w:pPr>
              <w:spacing w:after="0" w:line="240" w:lineRule="auto"/>
              <w:ind w:left="-57" w:right="-170"/>
              <w:rPr>
                <w:rFonts w:eastAsia="Calibri" w:cs="Arial"/>
                <w:szCs w:val="24"/>
              </w:rPr>
            </w:pPr>
            <w:r w:rsidRPr="00DC7BFA">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026A5767" w14:textId="43076535" w:rsidR="00594BA9" w:rsidRPr="00D80898" w:rsidRDefault="00594BA9" w:rsidP="00594BA9">
            <w:pPr>
              <w:shd w:val="clear" w:color="auto" w:fill="FFFFFF"/>
              <w:contextualSpacing/>
              <w:jc w:val="both"/>
              <w:rPr>
                <w:rFonts w:cs="Arial"/>
              </w:rPr>
            </w:pPr>
            <w:r w:rsidRPr="00224A91">
              <w:rPr>
                <w:rFonts w:cs="Arial"/>
                <w:b/>
                <w:bCs/>
              </w:rPr>
              <w:t>A se supune proiectul actului normativ expertizei juridice de către Ministerul Justiției</w:t>
            </w:r>
            <w:r>
              <w:rPr>
                <w:rFonts w:cs="Arial"/>
                <w:b/>
                <w:bCs/>
              </w:rPr>
              <w:t>.</w:t>
            </w:r>
          </w:p>
        </w:tc>
        <w:tc>
          <w:tcPr>
            <w:tcW w:w="2035" w:type="pct"/>
            <w:tcBorders>
              <w:top w:val="single" w:sz="4" w:space="0" w:color="000000"/>
              <w:left w:val="single" w:sz="4" w:space="0" w:color="000000"/>
              <w:bottom w:val="single" w:sz="4" w:space="0" w:color="000000"/>
              <w:right w:val="single" w:sz="4" w:space="0" w:color="000000"/>
            </w:tcBorders>
          </w:tcPr>
          <w:p w14:paraId="67CA4212" w14:textId="77777777" w:rsidR="00594BA9" w:rsidRDefault="00594BA9" w:rsidP="00594BA9">
            <w:pPr>
              <w:shd w:val="clear" w:color="auto" w:fill="FFFFFF"/>
              <w:contextualSpacing/>
              <w:jc w:val="both"/>
              <w:rPr>
                <w:rFonts w:cs="Arial"/>
                <w:i/>
                <w:iCs/>
              </w:rPr>
            </w:pPr>
            <w:r w:rsidRPr="0080010D">
              <w:rPr>
                <w:rFonts w:cs="Arial"/>
              </w:rPr>
              <w:t xml:space="preserve">Conform prevederilor art. </w:t>
            </w:r>
            <w:r>
              <w:rPr>
                <w:rFonts w:cs="Arial"/>
              </w:rPr>
              <w:t>37</w:t>
            </w:r>
            <w:r w:rsidRPr="0080010D">
              <w:rPr>
                <w:rFonts w:cs="Arial"/>
              </w:rPr>
              <w:t xml:space="preserve"> alin. (1) din Legea nr. 100 din 22.12.2017 cu privire la actele normative,</w:t>
            </w:r>
            <w:r>
              <w:rPr>
                <w:rFonts w:cs="Arial"/>
              </w:rPr>
              <w:t xml:space="preserve"> </w:t>
            </w:r>
            <w:r w:rsidRPr="00224A91">
              <w:rPr>
                <w:rFonts w:cs="Arial"/>
                <w:i/>
                <w:iCs/>
              </w:rPr>
              <w:t xml:space="preserve">expertiza juridică este efectuată de către Ministerul </w:t>
            </w:r>
            <w:proofErr w:type="spellStart"/>
            <w:r w:rsidRPr="00224A91">
              <w:rPr>
                <w:rFonts w:cs="Arial"/>
                <w:i/>
                <w:iCs/>
              </w:rPr>
              <w:t>Justiţiei</w:t>
            </w:r>
            <w:proofErr w:type="spellEnd"/>
            <w:r w:rsidRPr="00224A91">
              <w:rPr>
                <w:rFonts w:cs="Arial"/>
                <w:i/>
                <w:iCs/>
              </w:rPr>
              <w:t xml:space="preserve"> </w:t>
            </w:r>
            <w:proofErr w:type="spellStart"/>
            <w:r w:rsidRPr="00224A91">
              <w:rPr>
                <w:rFonts w:cs="Arial"/>
                <w:i/>
                <w:iCs/>
              </w:rPr>
              <w:t>şi</w:t>
            </w:r>
            <w:proofErr w:type="spellEnd"/>
            <w:r w:rsidRPr="00224A91">
              <w:rPr>
                <w:rFonts w:cs="Arial"/>
                <w:i/>
                <w:iCs/>
              </w:rPr>
              <w:t xml:space="preserve"> este obligatorie pentru toate proiectele actelor normative elaborate de către </w:t>
            </w:r>
            <w:proofErr w:type="spellStart"/>
            <w:r w:rsidRPr="00224A91">
              <w:rPr>
                <w:rFonts w:cs="Arial"/>
                <w:i/>
                <w:iCs/>
              </w:rPr>
              <w:t>autorităţile</w:t>
            </w:r>
            <w:proofErr w:type="spellEnd"/>
            <w:r w:rsidRPr="00224A91">
              <w:rPr>
                <w:rFonts w:cs="Arial"/>
                <w:i/>
                <w:iCs/>
              </w:rPr>
              <w:t xml:space="preserve"> administrației publice centrale de specialitate </w:t>
            </w:r>
            <w:proofErr w:type="spellStart"/>
            <w:r w:rsidRPr="00224A91">
              <w:rPr>
                <w:rFonts w:cs="Arial"/>
                <w:i/>
                <w:iCs/>
              </w:rPr>
              <w:t>şi</w:t>
            </w:r>
            <w:proofErr w:type="spellEnd"/>
            <w:r w:rsidRPr="00224A91">
              <w:rPr>
                <w:rFonts w:cs="Arial"/>
                <w:i/>
                <w:iCs/>
              </w:rPr>
              <w:t xml:space="preserve"> </w:t>
            </w:r>
            <w:proofErr w:type="spellStart"/>
            <w:r w:rsidRPr="00224A91">
              <w:rPr>
                <w:rFonts w:cs="Arial"/>
                <w:i/>
                <w:iCs/>
              </w:rPr>
              <w:t>autorităţile</w:t>
            </w:r>
            <w:proofErr w:type="spellEnd"/>
            <w:r w:rsidRPr="00224A91">
              <w:rPr>
                <w:rFonts w:cs="Arial"/>
                <w:i/>
                <w:iCs/>
              </w:rPr>
              <w:t xml:space="preserve"> publice autonome. În baza rezultatelor </w:t>
            </w:r>
            <w:r w:rsidRPr="00224A91">
              <w:rPr>
                <w:rFonts w:cs="Arial"/>
                <w:i/>
                <w:iCs/>
              </w:rPr>
              <w:lastRenderedPageBreak/>
              <w:t xml:space="preserve">expertizei juridice se </w:t>
            </w:r>
            <w:proofErr w:type="spellStart"/>
            <w:r w:rsidRPr="00224A91">
              <w:rPr>
                <w:rFonts w:cs="Arial"/>
                <w:i/>
                <w:iCs/>
              </w:rPr>
              <w:t>întocmeşte</w:t>
            </w:r>
            <w:proofErr w:type="spellEnd"/>
            <w:r w:rsidRPr="00224A91">
              <w:rPr>
                <w:rFonts w:cs="Arial"/>
                <w:i/>
                <w:iCs/>
              </w:rPr>
              <w:t xml:space="preserve"> raportul de expertiză juridică.</w:t>
            </w:r>
          </w:p>
          <w:p w14:paraId="5555985C" w14:textId="77777777" w:rsidR="00594BA9" w:rsidRDefault="00594BA9" w:rsidP="00594BA9">
            <w:pPr>
              <w:shd w:val="clear" w:color="auto" w:fill="FFFFFF"/>
              <w:contextualSpacing/>
              <w:jc w:val="both"/>
              <w:rPr>
                <w:rFonts w:cs="Arial"/>
              </w:rPr>
            </w:pPr>
            <w:r>
              <w:rPr>
                <w:rFonts w:cs="Arial"/>
              </w:rPr>
              <w:t>Astfel, având în vedere că emitentul actului normativ de aprobare a proiectului menționat este o autoritate publică centrală de specialitate, în speță, Ministerul Infrastructurii și Dezvoltării Regionale, se reclamă solicitarea expertizării juridice.</w:t>
            </w:r>
          </w:p>
          <w:p w14:paraId="44A7CCBB" w14:textId="4FC2E9DF" w:rsidR="00594BA9" w:rsidRDefault="00594BA9" w:rsidP="00594BA9">
            <w:pPr>
              <w:shd w:val="clear" w:color="auto" w:fill="FFFFFF"/>
              <w:contextualSpacing/>
              <w:jc w:val="both"/>
              <w:rPr>
                <w:rFonts w:cs="Arial"/>
              </w:rPr>
            </w:pPr>
            <w:r>
              <w:rPr>
                <w:rFonts w:cs="Arial"/>
              </w:rPr>
              <w:t>În caz contrar, reieșind din natura actului normativ, acesta ar putea fi anulat, ca fiind afectat de un viciu de legalitate în perspectiva unui control judecătoresc în cadrul unei acțiuni în control normativ.</w:t>
            </w:r>
          </w:p>
        </w:tc>
        <w:tc>
          <w:tcPr>
            <w:tcW w:w="420" w:type="pct"/>
            <w:tcBorders>
              <w:top w:val="single" w:sz="4" w:space="0" w:color="000000"/>
              <w:left w:val="single" w:sz="4" w:space="0" w:color="000000"/>
              <w:bottom w:val="single" w:sz="4" w:space="0" w:color="000000"/>
              <w:right w:val="single" w:sz="4" w:space="0" w:color="000000"/>
            </w:tcBorders>
          </w:tcPr>
          <w:p w14:paraId="7465F242" w14:textId="77777777" w:rsidR="00594BA9" w:rsidRPr="00EF42FC" w:rsidRDefault="00594BA9" w:rsidP="00594BA9">
            <w:pPr>
              <w:spacing w:after="0" w:line="240" w:lineRule="auto"/>
              <w:rPr>
                <w:rFonts w:eastAsia="Calibri" w:cs="Arial"/>
                <w:sz w:val="20"/>
                <w:szCs w:val="20"/>
              </w:rPr>
            </w:pPr>
          </w:p>
        </w:tc>
      </w:tr>
    </w:tbl>
    <w:p w14:paraId="4210AA43" w14:textId="77777777" w:rsidR="00D959B1" w:rsidRPr="00A10F51" w:rsidRDefault="00D959B1" w:rsidP="00D959B1">
      <w:pPr>
        <w:spacing w:after="0" w:line="240" w:lineRule="auto"/>
        <w:rPr>
          <w:rFonts w:eastAsia="Calibri" w:cs="Arial"/>
          <w:sz w:val="14"/>
          <w:szCs w:val="14"/>
        </w:rPr>
      </w:pPr>
    </w:p>
    <w:p w14:paraId="2E5520AE" w14:textId="3FC8A6EA" w:rsidR="00366B53" w:rsidRPr="0080010D" w:rsidRDefault="00366B53" w:rsidP="00A10F51">
      <w:pPr>
        <w:ind w:left="851"/>
        <w:contextualSpacing/>
        <w:rPr>
          <w:rFonts w:ascii="Times New Roman" w:hAnsi="Times New Roman"/>
          <w:sz w:val="28"/>
        </w:rPr>
      </w:pPr>
      <w:r>
        <w:rPr>
          <w:rFonts w:ascii="Times New Roman" w:hAnsi="Times New Roman"/>
          <w:sz w:val="28"/>
        </w:rPr>
        <w:t>Expert tehnic</w:t>
      </w:r>
      <w:r w:rsidRPr="0080010D">
        <w:rPr>
          <w:rFonts w:ascii="Times New Roman" w:hAnsi="Times New Roman"/>
          <w:sz w:val="28"/>
        </w:rPr>
        <w:tab/>
        <w:t xml:space="preserve">  </w:t>
      </w:r>
      <w:r w:rsidRPr="0080010D">
        <w:rPr>
          <w:rFonts w:ascii="Times New Roman" w:hAnsi="Times New Roman"/>
          <w:sz w:val="28"/>
        </w:rPr>
        <w:tab/>
      </w:r>
      <w:r w:rsidRPr="0080010D">
        <w:rPr>
          <w:rFonts w:ascii="Times New Roman" w:hAnsi="Times New Roman"/>
          <w:sz w:val="28"/>
        </w:rPr>
        <w:tab/>
      </w:r>
      <w:r w:rsidRPr="0080010D">
        <w:rPr>
          <w:rFonts w:ascii="Times New Roman" w:hAnsi="Times New Roman"/>
          <w:sz w:val="28"/>
        </w:rPr>
        <w:tab/>
      </w:r>
      <w:r w:rsidRPr="0080010D">
        <w:rPr>
          <w:rFonts w:ascii="Times New Roman" w:hAnsi="Times New Roman"/>
          <w:sz w:val="28"/>
        </w:rPr>
        <w:tab/>
      </w:r>
      <w:r w:rsidRPr="0080010D">
        <w:rPr>
          <w:rFonts w:ascii="Times New Roman" w:hAnsi="Times New Roman"/>
          <w:sz w:val="28"/>
        </w:rPr>
        <w:tab/>
      </w:r>
      <w:r w:rsidRPr="0080010D">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Pr="0080010D">
        <w:rPr>
          <w:rFonts w:ascii="Times New Roman" w:hAnsi="Times New Roman"/>
          <w:sz w:val="28"/>
        </w:rPr>
        <w:tab/>
      </w:r>
      <w:r w:rsidRPr="0080010D">
        <w:rPr>
          <w:rFonts w:ascii="Times New Roman" w:hAnsi="Times New Roman"/>
          <w:sz w:val="28"/>
        </w:rPr>
        <w:tab/>
      </w:r>
      <w:r w:rsidRPr="0080010D">
        <w:rPr>
          <w:rFonts w:ascii="Times New Roman" w:hAnsi="Times New Roman"/>
          <w:sz w:val="28"/>
        </w:rPr>
        <w:tab/>
        <w:t xml:space="preserve">  Denislam MAȘAEV</w:t>
      </w:r>
      <w:r w:rsidR="00A10F51">
        <w:rPr>
          <w:rFonts w:ascii="Times New Roman" w:hAnsi="Times New Roman"/>
          <w:sz w:val="28"/>
        </w:rPr>
        <w:t xml:space="preserve"> </w:t>
      </w:r>
      <w:r w:rsidR="00594BA9">
        <w:rPr>
          <w:rFonts w:ascii="Times New Roman" w:hAnsi="Times New Roman"/>
          <w:sz w:val="28"/>
        </w:rPr>
        <w:t>13</w:t>
      </w:r>
      <w:r w:rsidRPr="0080010D">
        <w:rPr>
          <w:rFonts w:ascii="Times New Roman" w:hAnsi="Times New Roman"/>
          <w:sz w:val="28"/>
        </w:rPr>
        <w:t>.</w:t>
      </w:r>
      <w:r w:rsidR="00594BA9">
        <w:rPr>
          <w:rFonts w:ascii="Times New Roman" w:hAnsi="Times New Roman"/>
          <w:sz w:val="28"/>
        </w:rPr>
        <w:t>02</w:t>
      </w:r>
      <w:r w:rsidRPr="0080010D">
        <w:rPr>
          <w:rFonts w:ascii="Times New Roman" w:hAnsi="Times New Roman"/>
          <w:sz w:val="28"/>
        </w:rPr>
        <w:t>.202</w:t>
      </w:r>
      <w:r w:rsidR="00594BA9">
        <w:rPr>
          <w:rFonts w:ascii="Times New Roman" w:hAnsi="Times New Roman"/>
          <w:sz w:val="28"/>
        </w:rPr>
        <w:t>6</w:t>
      </w:r>
    </w:p>
    <w:sectPr w:rsidR="00366B53" w:rsidRPr="0080010D" w:rsidSect="0074726C">
      <w:headerReference w:type="default" r:id="rId8"/>
      <w:footerReference w:type="default" r:id="rId9"/>
      <w:pgSz w:w="16838" w:h="11906" w:orient="landscape" w:code="9"/>
      <w:pgMar w:top="1134" w:right="1134" w:bottom="113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807FE" w14:textId="77777777" w:rsidR="00263448" w:rsidRDefault="00263448" w:rsidP="000A243A">
      <w:pPr>
        <w:spacing w:after="0" w:line="240" w:lineRule="auto"/>
      </w:pPr>
      <w:r>
        <w:separator/>
      </w:r>
    </w:p>
  </w:endnote>
  <w:endnote w:type="continuationSeparator" w:id="0">
    <w:p w14:paraId="7FFF3641" w14:textId="77777777" w:rsidR="00263448" w:rsidRDefault="00263448" w:rsidP="000A2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ГОСТ тип А">
    <w:altName w:val="Arial"/>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9846"/>
      <w:docPartObj>
        <w:docPartGallery w:val="Page Numbers (Bottom of Page)"/>
        <w:docPartUnique/>
      </w:docPartObj>
    </w:sdtPr>
    <w:sdtEndPr/>
    <w:sdtContent>
      <w:p w14:paraId="0341E632" w14:textId="3EC0A4A0" w:rsidR="0074726C" w:rsidRDefault="0074726C">
        <w:pPr>
          <w:pStyle w:val="Subsol"/>
          <w:jc w:val="center"/>
        </w:pPr>
        <w:r>
          <w:fldChar w:fldCharType="begin"/>
        </w:r>
        <w:r>
          <w:instrText>PAGE   \* MERGEFORMAT</w:instrText>
        </w:r>
        <w:r>
          <w:fldChar w:fldCharType="separate"/>
        </w:r>
        <w:r>
          <w:rPr>
            <w:lang w:val="ru-RU"/>
          </w:rPr>
          <w:t>2</w:t>
        </w:r>
        <w:r>
          <w:fldChar w:fldCharType="end"/>
        </w:r>
      </w:p>
    </w:sdtContent>
  </w:sdt>
  <w:p w14:paraId="7DE35F33" w14:textId="77777777" w:rsidR="0074726C" w:rsidRDefault="0074726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129AE" w14:textId="77777777" w:rsidR="00263448" w:rsidRDefault="00263448" w:rsidP="000A243A">
      <w:pPr>
        <w:spacing w:after="0" w:line="240" w:lineRule="auto"/>
      </w:pPr>
      <w:r>
        <w:separator/>
      </w:r>
    </w:p>
  </w:footnote>
  <w:footnote w:type="continuationSeparator" w:id="0">
    <w:p w14:paraId="07D481AC" w14:textId="77777777" w:rsidR="00263448" w:rsidRDefault="00263448" w:rsidP="000A243A">
      <w:pPr>
        <w:spacing w:after="0" w:line="240" w:lineRule="auto"/>
      </w:pPr>
      <w:r>
        <w:continuationSeparator/>
      </w:r>
    </w:p>
  </w:footnote>
  <w:footnote w:id="1">
    <w:p w14:paraId="7E1EFB6E" w14:textId="6E86CA35" w:rsidR="000E2D26" w:rsidRDefault="000E2D26">
      <w:pPr>
        <w:pStyle w:val="Textnotdesubsol"/>
      </w:pPr>
      <w:r>
        <w:rPr>
          <w:rStyle w:val="Referinnotdesubsol"/>
        </w:rPr>
        <w:footnoteRef/>
      </w:r>
      <w:r>
        <w:t xml:space="preserve"> </w:t>
      </w:r>
      <w:r w:rsidRPr="000E2D26">
        <w:t>Regulament privind regulile de redactare a documentelor normative în construcții</w:t>
      </w:r>
      <w:r>
        <w:t xml:space="preserve"> </w:t>
      </w:r>
      <w:hyperlink r:id="rId1" w:history="1">
        <w:r w:rsidRPr="004A2973">
          <w:rPr>
            <w:rStyle w:val="Hyperlink"/>
          </w:rPr>
          <w:t>https://ednc.gov.md/wp-content/uploads/2023/06/R-01.04-2018.pdf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3C6A1" w14:textId="068FC89B" w:rsidR="000A243A" w:rsidRDefault="000A243A" w:rsidP="000A243A">
    <w:pPr>
      <w:pStyle w:val="Antet"/>
      <w:jc w:val="right"/>
    </w:pPr>
    <w:r w:rsidRPr="00D642DC">
      <w:rPr>
        <w:rFonts w:ascii="ГОСТ тип А" w:hAnsi="ГОСТ тип А"/>
        <w:i/>
        <w:iCs/>
      </w:rPr>
      <w:t xml:space="preserve">Autor – </w:t>
    </w:r>
    <w:r w:rsidRPr="00BF18C4">
      <w:rPr>
        <w:rFonts w:ascii="ГОСТ тип А" w:hAnsi="ГОСТ тип А"/>
        <w:i/>
        <w:iCs/>
      </w:rPr>
      <w:t>Denislam MA</w:t>
    </w:r>
    <w:r w:rsidRPr="00F0486E">
      <w:rPr>
        <w:rFonts w:ascii="ГОСТ тип А" w:hAnsi="ГОСТ тип А"/>
        <w:i/>
        <w:iCs/>
      </w:rPr>
      <w:t>Ș</w:t>
    </w:r>
    <w:r w:rsidRPr="00BF18C4">
      <w:rPr>
        <w:rFonts w:ascii="ГОСТ тип А" w:hAnsi="ГОСТ тип А"/>
        <w:i/>
        <w:iCs/>
      </w:rPr>
      <w:t>AEV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046C4"/>
    <w:multiLevelType w:val="hybridMultilevel"/>
    <w:tmpl w:val="F25AE9EA"/>
    <w:lvl w:ilvl="0" w:tplc="5F582A00">
      <w:start w:val="1"/>
      <w:numFmt w:val="decimal"/>
      <w:lvlText w:val="%1."/>
      <w:lvlJc w:val="left"/>
      <w:pPr>
        <w:ind w:left="472" w:hanging="360"/>
      </w:pPr>
      <w:rPr>
        <w:sz w:val="24"/>
        <w:szCs w:val="24"/>
      </w:rPr>
    </w:lvl>
    <w:lvl w:ilvl="1" w:tplc="04190019" w:tentative="1">
      <w:start w:val="1"/>
      <w:numFmt w:val="lowerLetter"/>
      <w:lvlText w:val="%2."/>
      <w:lvlJc w:val="left"/>
      <w:pPr>
        <w:ind w:left="1342" w:hanging="360"/>
      </w:pPr>
    </w:lvl>
    <w:lvl w:ilvl="2" w:tplc="0419001B" w:tentative="1">
      <w:start w:val="1"/>
      <w:numFmt w:val="lowerRoman"/>
      <w:lvlText w:val="%3."/>
      <w:lvlJc w:val="right"/>
      <w:pPr>
        <w:ind w:left="2062" w:hanging="180"/>
      </w:pPr>
    </w:lvl>
    <w:lvl w:ilvl="3" w:tplc="0419000F" w:tentative="1">
      <w:start w:val="1"/>
      <w:numFmt w:val="decimal"/>
      <w:lvlText w:val="%4."/>
      <w:lvlJc w:val="left"/>
      <w:pPr>
        <w:ind w:left="2782" w:hanging="360"/>
      </w:pPr>
    </w:lvl>
    <w:lvl w:ilvl="4" w:tplc="04190019" w:tentative="1">
      <w:start w:val="1"/>
      <w:numFmt w:val="lowerLetter"/>
      <w:lvlText w:val="%5."/>
      <w:lvlJc w:val="left"/>
      <w:pPr>
        <w:ind w:left="3502" w:hanging="360"/>
      </w:pPr>
    </w:lvl>
    <w:lvl w:ilvl="5" w:tplc="0419001B" w:tentative="1">
      <w:start w:val="1"/>
      <w:numFmt w:val="lowerRoman"/>
      <w:lvlText w:val="%6."/>
      <w:lvlJc w:val="right"/>
      <w:pPr>
        <w:ind w:left="4222" w:hanging="180"/>
      </w:pPr>
    </w:lvl>
    <w:lvl w:ilvl="6" w:tplc="0419000F" w:tentative="1">
      <w:start w:val="1"/>
      <w:numFmt w:val="decimal"/>
      <w:lvlText w:val="%7."/>
      <w:lvlJc w:val="left"/>
      <w:pPr>
        <w:ind w:left="4942" w:hanging="360"/>
      </w:pPr>
    </w:lvl>
    <w:lvl w:ilvl="7" w:tplc="04190019" w:tentative="1">
      <w:start w:val="1"/>
      <w:numFmt w:val="lowerLetter"/>
      <w:lvlText w:val="%8."/>
      <w:lvlJc w:val="left"/>
      <w:pPr>
        <w:ind w:left="5662" w:hanging="360"/>
      </w:pPr>
    </w:lvl>
    <w:lvl w:ilvl="8" w:tplc="0419001B" w:tentative="1">
      <w:start w:val="1"/>
      <w:numFmt w:val="lowerRoman"/>
      <w:lvlText w:val="%9."/>
      <w:lvlJc w:val="right"/>
      <w:pPr>
        <w:ind w:left="6382" w:hanging="180"/>
      </w:pPr>
    </w:lvl>
  </w:abstractNum>
  <w:abstractNum w:abstractNumId="1" w15:restartNumberingAfterBreak="0">
    <w:nsid w:val="62AD4831"/>
    <w:multiLevelType w:val="hybridMultilevel"/>
    <w:tmpl w:val="3904C65C"/>
    <w:lvl w:ilvl="0" w:tplc="48AE8F56">
      <w:start w:val="5"/>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78997048">
    <w:abstractNumId w:val="0"/>
  </w:num>
  <w:num w:numId="2" w16cid:durableId="1218857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doNotHyphenateCaps/>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30"/>
    <w:rsid w:val="00004C9E"/>
    <w:rsid w:val="0001515B"/>
    <w:rsid w:val="000503BC"/>
    <w:rsid w:val="00064225"/>
    <w:rsid w:val="00076DF1"/>
    <w:rsid w:val="00085EE7"/>
    <w:rsid w:val="000A243A"/>
    <w:rsid w:val="000B03C4"/>
    <w:rsid w:val="000C2D2A"/>
    <w:rsid w:val="000E2349"/>
    <w:rsid w:val="000E2D26"/>
    <w:rsid w:val="000E72CE"/>
    <w:rsid w:val="00116C58"/>
    <w:rsid w:val="0012259E"/>
    <w:rsid w:val="001235AC"/>
    <w:rsid w:val="001326A8"/>
    <w:rsid w:val="001441D2"/>
    <w:rsid w:val="00147140"/>
    <w:rsid w:val="001600C7"/>
    <w:rsid w:val="00162518"/>
    <w:rsid w:val="0016628E"/>
    <w:rsid w:val="00180D9F"/>
    <w:rsid w:val="001813F0"/>
    <w:rsid w:val="001A22C8"/>
    <w:rsid w:val="001C02DB"/>
    <w:rsid w:val="001F4531"/>
    <w:rsid w:val="00212D5F"/>
    <w:rsid w:val="00214B68"/>
    <w:rsid w:val="002245D7"/>
    <w:rsid w:val="002271BE"/>
    <w:rsid w:val="0025259B"/>
    <w:rsid w:val="00263448"/>
    <w:rsid w:val="00293340"/>
    <w:rsid w:val="00294662"/>
    <w:rsid w:val="00297866"/>
    <w:rsid w:val="002A6612"/>
    <w:rsid w:val="002C0DE8"/>
    <w:rsid w:val="002D0BDB"/>
    <w:rsid w:val="002E4C4F"/>
    <w:rsid w:val="00322CD2"/>
    <w:rsid w:val="00326BE9"/>
    <w:rsid w:val="00344578"/>
    <w:rsid w:val="00346727"/>
    <w:rsid w:val="003477F5"/>
    <w:rsid w:val="00360DC7"/>
    <w:rsid w:val="00366B53"/>
    <w:rsid w:val="00387E85"/>
    <w:rsid w:val="00397EBA"/>
    <w:rsid w:val="003C1E6A"/>
    <w:rsid w:val="003D3FA1"/>
    <w:rsid w:val="00404E37"/>
    <w:rsid w:val="004168E3"/>
    <w:rsid w:val="00421A44"/>
    <w:rsid w:val="00450402"/>
    <w:rsid w:val="00462537"/>
    <w:rsid w:val="0048545D"/>
    <w:rsid w:val="004A7E18"/>
    <w:rsid w:val="004C214F"/>
    <w:rsid w:val="004C27BD"/>
    <w:rsid w:val="004C65CA"/>
    <w:rsid w:val="004D01D1"/>
    <w:rsid w:val="004F3DEB"/>
    <w:rsid w:val="00526CB0"/>
    <w:rsid w:val="00536A37"/>
    <w:rsid w:val="005375D0"/>
    <w:rsid w:val="0054115B"/>
    <w:rsid w:val="00582C10"/>
    <w:rsid w:val="00594BA9"/>
    <w:rsid w:val="005B0028"/>
    <w:rsid w:val="005C7B56"/>
    <w:rsid w:val="005F4F1E"/>
    <w:rsid w:val="005F54C7"/>
    <w:rsid w:val="005F5A8E"/>
    <w:rsid w:val="006121F8"/>
    <w:rsid w:val="006309ED"/>
    <w:rsid w:val="00634CC7"/>
    <w:rsid w:val="00643797"/>
    <w:rsid w:val="00653127"/>
    <w:rsid w:val="00664F99"/>
    <w:rsid w:val="00693B15"/>
    <w:rsid w:val="00693F2C"/>
    <w:rsid w:val="00696D64"/>
    <w:rsid w:val="006E6467"/>
    <w:rsid w:val="006F5FE4"/>
    <w:rsid w:val="00705AC5"/>
    <w:rsid w:val="00717064"/>
    <w:rsid w:val="007215B5"/>
    <w:rsid w:val="007356FB"/>
    <w:rsid w:val="0074335A"/>
    <w:rsid w:val="0074726C"/>
    <w:rsid w:val="00751C97"/>
    <w:rsid w:val="00751F29"/>
    <w:rsid w:val="00765AB5"/>
    <w:rsid w:val="007710D0"/>
    <w:rsid w:val="00794DBA"/>
    <w:rsid w:val="007B51F7"/>
    <w:rsid w:val="007B7AB0"/>
    <w:rsid w:val="007C0A2E"/>
    <w:rsid w:val="007C4A7C"/>
    <w:rsid w:val="007C6DEA"/>
    <w:rsid w:val="007D7570"/>
    <w:rsid w:val="007E1937"/>
    <w:rsid w:val="0083329E"/>
    <w:rsid w:val="00862037"/>
    <w:rsid w:val="00874610"/>
    <w:rsid w:val="00892DA0"/>
    <w:rsid w:val="00894D77"/>
    <w:rsid w:val="008976F2"/>
    <w:rsid w:val="008A0601"/>
    <w:rsid w:val="008C6EBA"/>
    <w:rsid w:val="008F5C31"/>
    <w:rsid w:val="009043C7"/>
    <w:rsid w:val="009217BB"/>
    <w:rsid w:val="00930AB0"/>
    <w:rsid w:val="00941DF7"/>
    <w:rsid w:val="00961136"/>
    <w:rsid w:val="00966230"/>
    <w:rsid w:val="00971AF1"/>
    <w:rsid w:val="00975A98"/>
    <w:rsid w:val="00975C87"/>
    <w:rsid w:val="0097731B"/>
    <w:rsid w:val="00981323"/>
    <w:rsid w:val="009A350A"/>
    <w:rsid w:val="009A4648"/>
    <w:rsid w:val="009B2720"/>
    <w:rsid w:val="009D3778"/>
    <w:rsid w:val="00A10F51"/>
    <w:rsid w:val="00A26597"/>
    <w:rsid w:val="00A341DD"/>
    <w:rsid w:val="00A34C95"/>
    <w:rsid w:val="00A6027C"/>
    <w:rsid w:val="00A72A85"/>
    <w:rsid w:val="00AD602C"/>
    <w:rsid w:val="00AF417C"/>
    <w:rsid w:val="00B20B54"/>
    <w:rsid w:val="00B27794"/>
    <w:rsid w:val="00B277D2"/>
    <w:rsid w:val="00B34357"/>
    <w:rsid w:val="00B35E7E"/>
    <w:rsid w:val="00B41C55"/>
    <w:rsid w:val="00B501B4"/>
    <w:rsid w:val="00B62751"/>
    <w:rsid w:val="00BC0575"/>
    <w:rsid w:val="00BC7251"/>
    <w:rsid w:val="00BE2290"/>
    <w:rsid w:val="00C15D26"/>
    <w:rsid w:val="00C20D44"/>
    <w:rsid w:val="00C246B2"/>
    <w:rsid w:val="00C336E4"/>
    <w:rsid w:val="00C3610C"/>
    <w:rsid w:val="00C86BFA"/>
    <w:rsid w:val="00C97305"/>
    <w:rsid w:val="00CA69B6"/>
    <w:rsid w:val="00CB09E3"/>
    <w:rsid w:val="00CB3E0C"/>
    <w:rsid w:val="00CE604E"/>
    <w:rsid w:val="00CF47BE"/>
    <w:rsid w:val="00D02ECF"/>
    <w:rsid w:val="00D04B0D"/>
    <w:rsid w:val="00D14C42"/>
    <w:rsid w:val="00D1582F"/>
    <w:rsid w:val="00D20E16"/>
    <w:rsid w:val="00D43690"/>
    <w:rsid w:val="00D80898"/>
    <w:rsid w:val="00D86625"/>
    <w:rsid w:val="00D9206A"/>
    <w:rsid w:val="00D959B1"/>
    <w:rsid w:val="00DA41EC"/>
    <w:rsid w:val="00DB485D"/>
    <w:rsid w:val="00DC1CAE"/>
    <w:rsid w:val="00DC7B88"/>
    <w:rsid w:val="00DD0A01"/>
    <w:rsid w:val="00E15901"/>
    <w:rsid w:val="00E20CE5"/>
    <w:rsid w:val="00E27AF2"/>
    <w:rsid w:val="00E47AF8"/>
    <w:rsid w:val="00E52FD4"/>
    <w:rsid w:val="00E71455"/>
    <w:rsid w:val="00E71A10"/>
    <w:rsid w:val="00E90894"/>
    <w:rsid w:val="00EA6956"/>
    <w:rsid w:val="00EC10B0"/>
    <w:rsid w:val="00EE171A"/>
    <w:rsid w:val="00EF33E8"/>
    <w:rsid w:val="00EF42FC"/>
    <w:rsid w:val="00EF5A73"/>
    <w:rsid w:val="00F0486E"/>
    <w:rsid w:val="00F245F3"/>
    <w:rsid w:val="00F27D0D"/>
    <w:rsid w:val="00F31111"/>
    <w:rsid w:val="00F32C30"/>
    <w:rsid w:val="00F460EA"/>
    <w:rsid w:val="00F76748"/>
    <w:rsid w:val="00F77009"/>
    <w:rsid w:val="00FB019B"/>
    <w:rsid w:val="00FB2829"/>
    <w:rsid w:val="00FB3706"/>
    <w:rsid w:val="00FF7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169BE"/>
  <w15:chartTrackingRefBased/>
  <w15:docId w15:val="{396B7376-D413-43BC-89D5-89CEF2B9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1326A8"/>
    <w:pPr>
      <w:ind w:left="720"/>
      <w:contextualSpacing/>
    </w:pPr>
  </w:style>
  <w:style w:type="paragraph" w:styleId="Antet">
    <w:name w:val="header"/>
    <w:basedOn w:val="Normal"/>
    <w:link w:val="AntetCaracter"/>
    <w:uiPriority w:val="99"/>
    <w:unhideWhenUsed/>
    <w:rsid w:val="000A243A"/>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0A243A"/>
    <w:rPr>
      <w:lang w:val="ro-RO"/>
    </w:rPr>
  </w:style>
  <w:style w:type="paragraph" w:styleId="Subsol">
    <w:name w:val="footer"/>
    <w:basedOn w:val="Normal"/>
    <w:link w:val="SubsolCaracter"/>
    <w:uiPriority w:val="99"/>
    <w:unhideWhenUsed/>
    <w:rsid w:val="000A243A"/>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0A243A"/>
    <w:rPr>
      <w:lang w:val="ro-RO"/>
    </w:rPr>
  </w:style>
  <w:style w:type="paragraph" w:styleId="NormalWeb">
    <w:name w:val="Normal (Web)"/>
    <w:basedOn w:val="Normal"/>
    <w:uiPriority w:val="99"/>
    <w:semiHidden/>
    <w:unhideWhenUsed/>
    <w:rsid w:val="00EF42FC"/>
    <w:rPr>
      <w:rFonts w:ascii="Times New Roman" w:hAnsi="Times New Roman" w:cs="Times New Roman"/>
      <w:szCs w:val="24"/>
    </w:rPr>
  </w:style>
  <w:style w:type="character" w:styleId="Hyperlink">
    <w:name w:val="Hyperlink"/>
    <w:basedOn w:val="Fontdeparagrafimplicit"/>
    <w:uiPriority w:val="99"/>
    <w:unhideWhenUsed/>
    <w:rsid w:val="00A6027C"/>
    <w:rPr>
      <w:color w:val="0563C1" w:themeColor="hyperlink"/>
      <w:u w:val="single"/>
    </w:rPr>
  </w:style>
  <w:style w:type="character" w:styleId="MeniuneNerezolvat">
    <w:name w:val="Unresolved Mention"/>
    <w:basedOn w:val="Fontdeparagrafimplicit"/>
    <w:uiPriority w:val="99"/>
    <w:semiHidden/>
    <w:unhideWhenUsed/>
    <w:rsid w:val="00A6027C"/>
    <w:rPr>
      <w:color w:val="605E5C"/>
      <w:shd w:val="clear" w:color="auto" w:fill="E1DFDD"/>
    </w:rPr>
  </w:style>
  <w:style w:type="paragraph" w:styleId="Textnotdesubsol">
    <w:name w:val="footnote text"/>
    <w:basedOn w:val="Normal"/>
    <w:link w:val="TextnotdesubsolCaracter"/>
    <w:uiPriority w:val="99"/>
    <w:semiHidden/>
    <w:unhideWhenUsed/>
    <w:rsid w:val="00F27D0D"/>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F27D0D"/>
    <w:rPr>
      <w:sz w:val="20"/>
      <w:szCs w:val="20"/>
      <w:lang w:val="ro-RO"/>
    </w:rPr>
  </w:style>
  <w:style w:type="character" w:styleId="Referinnotdesubsol">
    <w:name w:val="footnote reference"/>
    <w:basedOn w:val="Fontdeparagrafimplicit"/>
    <w:uiPriority w:val="99"/>
    <w:semiHidden/>
    <w:unhideWhenUsed/>
    <w:rsid w:val="00F27D0D"/>
    <w:rPr>
      <w:vertAlign w:val="superscript"/>
    </w:rPr>
  </w:style>
  <w:style w:type="character" w:styleId="HyperlinkParcurs">
    <w:name w:val="FollowedHyperlink"/>
    <w:basedOn w:val="Fontdeparagrafimplicit"/>
    <w:uiPriority w:val="99"/>
    <w:semiHidden/>
    <w:unhideWhenUsed/>
    <w:rsid w:val="00B277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12041">
      <w:bodyDiv w:val="1"/>
      <w:marLeft w:val="0"/>
      <w:marRight w:val="0"/>
      <w:marTop w:val="0"/>
      <w:marBottom w:val="0"/>
      <w:divBdr>
        <w:top w:val="none" w:sz="0" w:space="0" w:color="auto"/>
        <w:left w:val="none" w:sz="0" w:space="0" w:color="auto"/>
        <w:bottom w:val="none" w:sz="0" w:space="0" w:color="auto"/>
        <w:right w:val="none" w:sz="0" w:space="0" w:color="auto"/>
      </w:divBdr>
    </w:div>
    <w:div w:id="154762670">
      <w:bodyDiv w:val="1"/>
      <w:marLeft w:val="0"/>
      <w:marRight w:val="0"/>
      <w:marTop w:val="0"/>
      <w:marBottom w:val="0"/>
      <w:divBdr>
        <w:top w:val="none" w:sz="0" w:space="0" w:color="auto"/>
        <w:left w:val="none" w:sz="0" w:space="0" w:color="auto"/>
        <w:bottom w:val="none" w:sz="0" w:space="0" w:color="auto"/>
        <w:right w:val="none" w:sz="0" w:space="0" w:color="auto"/>
      </w:divBdr>
    </w:div>
    <w:div w:id="643244006">
      <w:bodyDiv w:val="1"/>
      <w:marLeft w:val="0"/>
      <w:marRight w:val="0"/>
      <w:marTop w:val="0"/>
      <w:marBottom w:val="0"/>
      <w:divBdr>
        <w:top w:val="none" w:sz="0" w:space="0" w:color="auto"/>
        <w:left w:val="none" w:sz="0" w:space="0" w:color="auto"/>
        <w:bottom w:val="none" w:sz="0" w:space="0" w:color="auto"/>
        <w:right w:val="none" w:sz="0" w:space="0" w:color="auto"/>
      </w:divBdr>
    </w:div>
    <w:div w:id="1098603929">
      <w:bodyDiv w:val="1"/>
      <w:marLeft w:val="0"/>
      <w:marRight w:val="0"/>
      <w:marTop w:val="0"/>
      <w:marBottom w:val="0"/>
      <w:divBdr>
        <w:top w:val="none" w:sz="0" w:space="0" w:color="auto"/>
        <w:left w:val="none" w:sz="0" w:space="0" w:color="auto"/>
        <w:bottom w:val="none" w:sz="0" w:space="0" w:color="auto"/>
        <w:right w:val="none" w:sz="0" w:space="0" w:color="auto"/>
      </w:divBdr>
    </w:div>
    <w:div w:id="1647394486">
      <w:bodyDiv w:val="1"/>
      <w:marLeft w:val="0"/>
      <w:marRight w:val="0"/>
      <w:marTop w:val="0"/>
      <w:marBottom w:val="0"/>
      <w:divBdr>
        <w:top w:val="none" w:sz="0" w:space="0" w:color="auto"/>
        <w:left w:val="none" w:sz="0" w:space="0" w:color="auto"/>
        <w:bottom w:val="none" w:sz="0" w:space="0" w:color="auto"/>
        <w:right w:val="none" w:sz="0" w:space="0" w:color="auto"/>
      </w:divBdr>
    </w:div>
    <w:div w:id="1933121238">
      <w:bodyDiv w:val="1"/>
      <w:marLeft w:val="0"/>
      <w:marRight w:val="0"/>
      <w:marTop w:val="0"/>
      <w:marBottom w:val="0"/>
      <w:divBdr>
        <w:top w:val="none" w:sz="0" w:space="0" w:color="auto"/>
        <w:left w:val="none" w:sz="0" w:space="0" w:color="auto"/>
        <w:bottom w:val="none" w:sz="0" w:space="0" w:color="auto"/>
        <w:right w:val="none" w:sz="0" w:space="0" w:color="auto"/>
      </w:divBdr>
    </w:div>
    <w:div w:id="200601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dnc.gov.md/wp-content/uploads/2023/06/R-01.04-2018.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42D7B-B000-4C04-BB30-8A9C8CA21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1172</Words>
  <Characters>6803</Characters>
  <Application>Microsoft Office Word</Application>
  <DocSecurity>0</DocSecurity>
  <Lines>56</Lines>
  <Paragraphs>15</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Croitoru Gheorghe</dc:creator>
  <cp:keywords/>
  <dc:description/>
  <cp:lastModifiedBy>Denislam Masaev</cp:lastModifiedBy>
  <cp:revision>3</cp:revision>
  <cp:lastPrinted>2025-03-23T13:35:00Z</cp:lastPrinted>
  <dcterms:created xsi:type="dcterms:W3CDTF">2026-02-13T13:58:00Z</dcterms:created>
  <dcterms:modified xsi:type="dcterms:W3CDTF">2026-02-13T14:24:00Z</dcterms:modified>
</cp:coreProperties>
</file>